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44"/>
          <w:szCs w:val="44"/>
          <w:lang w:eastAsia="zh-CN"/>
        </w:rPr>
      </w:pPr>
    </w:p>
    <w:p>
      <w:pPr>
        <w:jc w:val="center"/>
        <w:rPr>
          <w:sz w:val="44"/>
          <w:szCs w:val="44"/>
        </w:rPr>
      </w:pPr>
    </w:p>
    <w:p>
      <w:pPr>
        <w:jc w:val="center"/>
        <w:rPr>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6"/>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40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eastAsia" w:ascii="方正小标宋简体" w:hAnsi="方正小标宋简体" w:eastAsia="方正小标宋简体" w:cs="方正小标宋简体"/>
                <w:color w:val="FF0000"/>
                <w:w w:val="80"/>
                <w:sz w:val="100"/>
                <w:szCs w:val="100"/>
                <w:vertAlign w:val="baseline"/>
                <w:lang w:val="en-US" w:eastAsia="zh-CN"/>
              </w:rPr>
            </w:pPr>
            <w:r>
              <w:rPr>
                <w:rFonts w:hint="eastAsia" w:ascii="方正小标宋简体" w:hAnsi="方正小标宋简体" w:eastAsia="方正小标宋简体" w:cs="方正小标宋简体"/>
                <w:color w:val="FF0000"/>
                <w:w w:val="78"/>
                <w:sz w:val="100"/>
                <w:szCs w:val="100"/>
                <w:vertAlign w:val="baseline"/>
                <w:lang w:val="en-US" w:eastAsia="zh-CN"/>
              </w:rPr>
              <w:t>鄂州市医疗保障局</w:t>
            </w:r>
          </w:p>
        </w:tc>
        <w:tc>
          <w:tcPr>
            <w:tcW w:w="2116" w:type="dxa"/>
            <w:vMerge w:val="restart"/>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eastAsiaTheme="minorEastAsia"/>
                <w:color w:val="FF0000"/>
                <w:sz w:val="44"/>
                <w:szCs w:val="44"/>
                <w:vertAlign w:val="baseline"/>
                <w:lang w:val="en-US" w:eastAsia="zh-CN"/>
              </w:rPr>
            </w:pPr>
            <w:r>
              <w:rPr>
                <w:rFonts w:hint="eastAsia" w:ascii="方正小标宋简体" w:hAnsi="方正小标宋简体" w:eastAsia="方正小标宋简体" w:cs="方正小标宋简体"/>
                <w:color w:val="FF0000"/>
                <w:w w:val="80"/>
                <w:sz w:val="116"/>
                <w:szCs w:val="116"/>
                <w:vertAlign w:val="baseline"/>
                <w:lang w:val="en-US"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40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1100" w:lineRule="exact"/>
              <w:jc w:val="distribute"/>
              <w:textAlignment w:val="auto"/>
              <w:rPr>
                <w:rFonts w:hint="default" w:ascii="方正小标宋简体" w:hAnsi="方正小标宋简体" w:eastAsia="方正小标宋简体" w:cs="方正小标宋简体"/>
                <w:color w:val="FF0000"/>
                <w:w w:val="80"/>
                <w:sz w:val="100"/>
                <w:szCs w:val="100"/>
                <w:vertAlign w:val="baseline"/>
                <w:lang w:val="en-US" w:eastAsia="zh-CN"/>
              </w:rPr>
            </w:pPr>
            <w:r>
              <w:rPr>
                <w:rFonts w:hint="eastAsia" w:ascii="方正小标宋简体" w:hAnsi="方正小标宋简体" w:eastAsia="方正小标宋简体" w:cs="方正小标宋简体"/>
                <w:color w:val="FF0000"/>
                <w:w w:val="60"/>
                <w:sz w:val="100"/>
                <w:szCs w:val="100"/>
                <w:vertAlign w:val="baseline"/>
                <w:lang w:val="en-US" w:eastAsia="zh-CN"/>
              </w:rPr>
              <w:t>鄂州市卫生健康委员会</w:t>
            </w:r>
          </w:p>
        </w:tc>
        <w:tc>
          <w:tcPr>
            <w:tcW w:w="2116" w:type="dxa"/>
            <w:vMerge w:val="continue"/>
            <w:tcBorders>
              <w:top w:val="nil"/>
              <w:left w:val="nil"/>
              <w:bottom w:val="nil"/>
              <w:right w:val="nil"/>
            </w:tcBorders>
          </w:tcPr>
          <w:p>
            <w:pPr>
              <w:jc w:val="center"/>
              <w:rPr>
                <w:color w:val="FF0000"/>
                <w:sz w:val="44"/>
                <w:szCs w:val="44"/>
                <w:vertAlign w:val="baseline"/>
              </w:rPr>
            </w:pPr>
          </w:p>
        </w:tc>
      </w:tr>
    </w:tbl>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40" w:lineRule="exact"/>
        <w:jc w:val="center"/>
        <w:textAlignment w:val="auto"/>
        <w:rPr>
          <w:sz w:val="44"/>
          <w:szCs w:val="44"/>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鄂州医保发</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79</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160" w:lineRule="exact"/>
        <w:jc w:val="left"/>
        <w:textAlignment w:val="auto"/>
        <w:rPr>
          <w:rFonts w:hint="eastAsia" w:ascii="仿宋_GB2312" w:hAnsi="仿宋_GB2312" w:eastAsia="仿宋_GB2312" w:cs="仿宋_GB2312"/>
          <w:color w:val="FF0000"/>
          <w:sz w:val="32"/>
          <w:szCs w:val="32"/>
          <w:u w:val="single"/>
          <w:lang w:val="en-US" w:eastAsia="zh-CN"/>
        </w:rPr>
      </w:pPr>
      <w:r>
        <w:rPr>
          <w:rFonts w:hint="eastAsia" w:ascii="仿宋_GB2312" w:hAnsi="仿宋_GB2312" w:eastAsia="仿宋_GB2312" w:cs="仿宋_GB2312"/>
          <w:color w:val="FF0000"/>
          <w:sz w:val="32"/>
          <w:szCs w:val="32"/>
          <w:u w:val="thick"/>
          <w:lang w:val="en-US" w:eastAsia="zh-CN"/>
        </w:rPr>
        <w:t xml:space="preserve">                                                    </w:t>
      </w:r>
      <w:r>
        <w:rPr>
          <w:rFonts w:hint="eastAsia" w:ascii="仿宋_GB2312" w:hAnsi="仿宋_GB2312" w:eastAsia="仿宋_GB2312" w:cs="仿宋_GB2312"/>
          <w:color w:val="FF0000"/>
          <w:sz w:val="32"/>
          <w:szCs w:val="32"/>
          <w:u w:val="single"/>
          <w:lang w:val="en-US" w:eastAsia="zh-CN"/>
        </w:rPr>
        <w:t xml:space="preserve"> </w:t>
      </w:r>
    </w:p>
    <w:p>
      <w:pPr>
        <w:jc w:val="left"/>
        <w:rPr>
          <w:rFonts w:hint="default" w:ascii="仿宋_GB2312" w:hAnsi="仿宋_GB2312" w:eastAsia="仿宋_GB2312" w:cs="仿宋_GB2312"/>
          <w:color w:val="C00000"/>
          <w:sz w:val="32"/>
          <w:szCs w:val="32"/>
          <w:u w:val="single"/>
          <w:lang w:val="en-US" w:eastAsia="zh-CN"/>
        </w:rPr>
      </w:pPr>
    </w:p>
    <w:p>
      <w:pPr>
        <w:pStyle w:val="2"/>
        <w:rPr>
          <w:rFonts w:hint="default"/>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baseline"/>
        <w:rPr>
          <w:rFonts w:hint="default" w:ascii="方正小标宋简体" w:hAnsi="方正小标宋简体" w:eastAsia="方正小标宋简体" w:cs="方正小标宋简体"/>
          <w:b w:val="0"/>
          <w:bCs w:val="0"/>
          <w:i w:val="0"/>
          <w:iCs w:val="0"/>
          <w:color w:val="auto"/>
          <w:sz w:val="44"/>
          <w:szCs w:val="44"/>
          <w:lang w:val="en-US"/>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eastAsia="zh-CN"/>
        </w:rPr>
        <w:t>市医疗保障局   市卫生健康</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val="en-US" w:eastAsia="zh-CN"/>
        </w:rPr>
        <w:t>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baseline"/>
        <w:rPr>
          <w:b w:val="0"/>
          <w:bCs w:val="0"/>
          <w:i w:val="0"/>
          <w:iCs w:val="0"/>
          <w:color w:val="auto"/>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eastAsia="zh-CN"/>
        </w:rPr>
        <w:t>转发省医保局</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val="en-US" w:eastAsia="zh-CN"/>
        </w:rPr>
        <w:t xml:space="preserve"> </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eastAsia="zh-CN"/>
        </w:rPr>
        <w:t>省卫健委</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val="en-US" w:eastAsia="zh-CN"/>
        </w:rPr>
        <w:t>关于完善国家医保谈判药品“双通道”政策及建立“单独支付”药品保障机制</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vertAlign w:val="baseline"/>
          <w:lang w:eastAsia="zh-CN"/>
        </w:rPr>
        <w:t>的通知</w:t>
      </w:r>
      <w:r>
        <w:rPr>
          <w:rFonts w:ascii="宋体" w:hAnsi="宋体" w:eastAsia="宋体" w:cs="宋体"/>
          <w:b w:val="0"/>
          <w:bCs w:val="0"/>
          <w:i w:val="0"/>
          <w:iCs w:val="0"/>
          <w:caps w:val="0"/>
          <w:color w:val="auto"/>
          <w:spacing w:val="0"/>
          <w:sz w:val="44"/>
          <w:szCs w:val="44"/>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eastAsia" w:ascii="仿宋_GB2312" w:hAnsi="仿宋_GB2312" w:eastAsia="仿宋_GB2312" w:cs="仿宋_GB2312"/>
          <w:b w:val="0"/>
          <w:bCs w:val="0"/>
          <w:i w:val="0"/>
          <w:iCs w:val="0"/>
          <w:color w:val="auto"/>
          <w:sz w:val="32"/>
          <w:szCs w:val="32"/>
        </w:rPr>
      </w:pPr>
      <w:r>
        <w:rPr>
          <w:rFonts w:hint="default" w:ascii="Calibri" w:hAnsi="Calibri" w:eastAsia="Segoe UI" w:cs="Calibri"/>
          <w:b w:val="0"/>
          <w:bCs w:val="0"/>
          <w:i w:val="0"/>
          <w:iCs w:val="0"/>
          <w:caps w:val="0"/>
          <w:color w:val="auto"/>
          <w:spacing w:val="0"/>
          <w:sz w:val="44"/>
          <w:szCs w:val="44"/>
          <w:shd w:val="clear" w:fill="FFFFFF"/>
          <w:vertAlign w:val="baseline"/>
          <w:lang w:eastAsia="zh-CN"/>
        </w:rPr>
        <w:t>　</w:t>
      </w:r>
      <w:r>
        <w:rPr>
          <w:rFonts w:hint="eastAsia" w:ascii="仿宋_GB2312" w:hAnsi="仿宋_GB2312" w:eastAsia="仿宋_GB2312" w:cs="仿宋_GB2312"/>
          <w:b w:val="0"/>
          <w:bCs w:val="0"/>
          <w:i w:val="0"/>
          <w:iCs w:val="0"/>
          <w:caps w:val="0"/>
          <w:color w:val="auto"/>
          <w:spacing w:val="0"/>
          <w:sz w:val="32"/>
          <w:szCs w:val="3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baseline"/>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各区医保局、卫健局，葛店开发区社发局、临空经济区组织人事局，各</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定点</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医</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药</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机构：</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根据《省医疗保障局 省卫生健康委员会关于完善国家医保谈判药品“双通道”政策及建立“单独支付”药品保障机制的通知》（鄂医保发</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2022</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83号）文件要求，结合我市实际情况，现将有关事项通知如下：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0" w:leftChars="0" w:right="0" w:firstLine="640" w:firstLineChars="0"/>
        <w:jc w:val="both"/>
        <w:textAlignment w:val="baseline"/>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vertAlign w:val="baseline"/>
          <w:lang w:val="en-US" w:eastAsia="zh-CN"/>
        </w:rPr>
        <w:t>“单独支付”药品支付政策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参保患者在定点医疗机构住院使用“单独支付”药品发生的医疗费用，按现行医保住院待遇政策执行。在定点医疗机构门诊使用或定点零售药店按规定购买“单独支付”药品发生的费用，不设起付线，医保基金参照三级医疗机构城乡居民和城镇职工住院时乙类费用支付比例支付，城乡居民、城镇职工、公务员（企业）补助分别按55%、75%、85%的比例支付。药品不单独设定年度支付限额，一并计入基本医疗保险统筹基金住院年度最高支付限额累计计算。</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456"/>
        </w:tabs>
        <w:kinsoku/>
        <w:wordWrap/>
        <w:overflowPunct/>
        <w:topLinePunct w:val="0"/>
        <w:autoSpaceDE/>
        <w:autoSpaceDN/>
        <w:bidi w:val="0"/>
        <w:adjustRightInd/>
        <w:snapToGrid/>
        <w:spacing w:before="0" w:beforeAutospacing="0" w:after="0" w:afterAutospacing="0" w:line="580" w:lineRule="exact"/>
        <w:ind w:left="-10" w:leftChars="0" w:right="0" w:rightChars="0" w:firstLine="640" w:firstLineChars="0"/>
        <w:jc w:val="both"/>
        <w:textAlignment w:val="baseline"/>
        <w:rPr>
          <w:rFonts w:hint="default" w:ascii="Times New Roman" w:hAnsi="Times New Roman" w:eastAsia="黑体"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vertAlign w:val="baseline"/>
          <w:lang w:val="en-US" w:eastAsia="zh-CN"/>
        </w:rPr>
        <w:t>纳入“单独支付”的药品实行“三定管理”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医保经办机构对纳入“单独支付”的药品实行“三定管理”，其定点医药机构按《关于确定我市首批医保门慢特病及谈判药品“双通道”定点医药机构的通知》（鄂州医保发</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2022</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78号）文件执行，建立用药资格备案和定期复查评估等管理机制，督促定点医疗机构严格落实处方流转相关规定，督促定点医药机构严格执行谈判药品限定支付范围和医保支付标准，实现患者用药行为管理全过程监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0" w:leftChars="0" w:right="0" w:rightChars="0" w:firstLine="640" w:firstLineChars="0"/>
        <w:jc w:val="both"/>
        <w:textAlignment w:val="baseline"/>
        <w:rPr>
          <w:rFonts w:hint="default" w:ascii="Times New Roman" w:hAnsi="Times New Roman" w:eastAsia="黑体"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黑体" w:cs="Times New Roman"/>
          <w:b w:val="0"/>
          <w:bCs w:val="0"/>
          <w:i w:val="0"/>
          <w:iCs w:val="0"/>
          <w:caps w:val="0"/>
          <w:color w:val="auto"/>
          <w:spacing w:val="0"/>
          <w:sz w:val="32"/>
          <w:szCs w:val="32"/>
          <w:shd w:val="clear" w:fill="FFFFFF"/>
          <w:vertAlign w:val="baseline"/>
          <w:lang w:val="en-US" w:eastAsia="zh-CN"/>
        </w:rPr>
        <w:t>做好待遇政策衔接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 xml:space="preserve">    对未列入全省统一“单独支付”药品目录的协议期内谈判药品，通过职工医保门诊共济保障机制、完善门诊慢特病等办法做好待遇衔接，保障谈判药品落地。我市原参照“双通道”管理的23种药品，过渡期内按“单独支付”药品支付政策执行，过渡截止期为2023年12月31日。参保患者在门诊使用“单独支付”药品目录内的药品时，享受“单独支付”药品待遇，不重复享受门诊其他待遇。</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0" w:leftChars="0" w:right="0" w:rightChars="0" w:firstLine="640" w:firstLineChars="0"/>
        <w:jc w:val="both"/>
        <w:textAlignment w:val="baseline"/>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t>国家谈判药品“双通道”政策及“单独支付”药品保障机制严格按《省医疗保障局 省卫生健康委员会关于完善国家医保谈判药品“双通道”政策及建立“单独支付”药品保障机制的通知》（鄂医保发</w:t>
      </w:r>
      <w:r>
        <w:rPr>
          <w:rFonts w:hint="default" w:ascii="Times New Roman" w:hAnsi="Times New Roman" w:eastAsia="仿宋_GB2312" w:cs="Times New Roman"/>
          <w:b/>
          <w:bCs/>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t>2022</w:t>
      </w:r>
      <w:r>
        <w:rPr>
          <w:rFonts w:hint="default" w:ascii="Times New Roman" w:hAnsi="Times New Roman" w:eastAsia="仿宋_GB2312" w:cs="Times New Roman"/>
          <w:b/>
          <w:bCs/>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t>83</w:t>
      </w:r>
      <w:r>
        <w:rPr>
          <w:rFonts w:hint="default" w:ascii="Times New Roman" w:hAnsi="Times New Roman" w:eastAsia="仿宋_GB2312" w:cs="Times New Roman"/>
          <w:b/>
          <w:bCs/>
          <w:i w:val="0"/>
          <w:iCs w:val="0"/>
          <w:caps w:val="0"/>
          <w:color w:val="auto"/>
          <w:spacing w:val="0"/>
          <w:sz w:val="32"/>
          <w:szCs w:val="32"/>
          <w:shd w:val="clear" w:fill="FFFFFF"/>
          <w:vertAlign w:val="baseline"/>
          <w:lang w:eastAsia="zh-CN"/>
        </w:rPr>
        <w:t>号）</w:t>
      </w:r>
      <w:r>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t>相关规定执行。</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0" w:leftChars="0" w:right="0" w:rightChars="0" w:firstLine="640" w:firstLineChars="0"/>
        <w:jc w:val="both"/>
        <w:textAlignment w:val="baseline"/>
        <w:rPr>
          <w:rFonts w:hint="default" w:ascii="Times New Roman" w:hAnsi="Times New Roman" w:eastAsia="仿宋_GB2312" w:cs="Times New Roman"/>
          <w:b/>
          <w:bCs/>
          <w:i w:val="0"/>
          <w:iCs w:val="0"/>
          <w:caps w:val="0"/>
          <w:color w:val="auto"/>
          <w:spacing w:val="0"/>
          <w:sz w:val="32"/>
          <w:szCs w:val="32"/>
          <w:shd w:val="clear" w:fill="FFFFFF"/>
          <w:vertAlign w:val="baseline"/>
        </w:rPr>
      </w:pPr>
      <w:r>
        <w:rPr>
          <w:rFonts w:hint="default" w:ascii="Times New Roman" w:hAnsi="Times New Roman" w:eastAsia="仿宋_GB2312" w:cs="Times New Roman"/>
          <w:b/>
          <w:bCs/>
          <w:i w:val="0"/>
          <w:iCs w:val="0"/>
          <w:caps w:val="0"/>
          <w:color w:val="auto"/>
          <w:spacing w:val="0"/>
          <w:sz w:val="32"/>
          <w:szCs w:val="32"/>
          <w:shd w:val="clear" w:fill="FFFFFF"/>
          <w:vertAlign w:val="baseline"/>
          <w:lang w:val="en-US" w:eastAsia="zh-CN"/>
        </w:rPr>
        <w:t>本通知自2023年1月1日起执行，原其他与本政策不一致的按本政策执行。本通知执行期间，国家、省有新规定的从其规定。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910" w:leftChars="300" w:right="0" w:rightChars="0" w:hanging="1280" w:hangingChars="40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910" w:leftChars="300" w:right="0" w:rightChars="0" w:hanging="1280" w:hangingChars="40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附件：1.《省医疗保障局 省卫生健康委员会关于完善国</w:t>
      </w:r>
      <w:bookmarkStart w:id="0" w:name="_GoBack"/>
      <w:bookmarkEnd w:id="0"/>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家医保谈判药品“双通道”政策及建立“单独支付”药品保障机制的通知》</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（鄂医保发</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2022</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83</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号）</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rPr>
        <w:t>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908" w:leftChars="756" w:right="0" w:rightChars="0" w:hanging="320" w:hangingChars="10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2</w:t>
      </w:r>
      <w:r>
        <w:rPr>
          <w:rFonts w:hint="eastAsia"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鄂州市参照“双通道”管理药品目录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baseline"/>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rPr>
      </w:pPr>
      <w:r>
        <w:rPr>
          <w:rFonts w:hint="default" w:ascii="Times New Roman" w:hAnsi="Times New Roman" w:eastAsia="仿宋_GB2312" w:cs="Times New Roman"/>
          <w:sz w:val="32"/>
          <w:szCs w:val="32"/>
          <w:lang w:val="en-US" w:eastAsia="zh-CN"/>
        </w:rPr>
        <w:drawing>
          <wp:anchor distT="0" distB="0" distL="114300" distR="114300" simplePos="0" relativeHeight="251660288" behindDoc="1" locked="0" layoutInCell="1" allowOverlap="1">
            <wp:simplePos x="0" y="0"/>
            <wp:positionH relativeFrom="column">
              <wp:posOffset>3093085</wp:posOffset>
            </wp:positionH>
            <wp:positionV relativeFrom="paragraph">
              <wp:posOffset>285750</wp:posOffset>
            </wp:positionV>
            <wp:extent cx="1724025" cy="1809750"/>
            <wp:effectExtent l="46355" t="43815" r="58420" b="0"/>
            <wp:wrapNone/>
            <wp:docPr id="2" name="图片 2" descr="JPZ)OD1R~7Z5D08(E@U0E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PZ)OD1R~7Z5D08(E@U0E4P"/>
                    <pic:cNvPicPr>
                      <a:picLocks noChangeAspect="1"/>
                    </pic:cNvPicPr>
                  </pic:nvPicPr>
                  <pic:blipFill>
                    <a:blip r:embed="rId4">
                      <a:clrChange>
                        <a:clrFrom>
                          <a:srgbClr val="FFFFFF">
                            <a:alpha val="100000"/>
                          </a:srgbClr>
                        </a:clrFrom>
                        <a:clrTo>
                          <a:srgbClr val="FFFFFF">
                            <a:alpha val="100000"/>
                            <a:alpha val="0"/>
                          </a:srgbClr>
                        </a:clrTo>
                      </a:clrChange>
                    </a:blip>
                    <a:stretch>
                      <a:fillRect/>
                    </a:stretch>
                  </pic:blipFill>
                  <pic:spPr>
                    <a:xfrm rot="21420000">
                      <a:off x="0" y="0"/>
                      <a:ext cx="1724025" cy="1809750"/>
                    </a:xfrm>
                    <a:prstGeom prst="rect">
                      <a:avLst/>
                    </a:prstGeom>
                  </pic:spPr>
                </pic:pic>
              </a:graphicData>
            </a:graphic>
          </wp:anchor>
        </w:drawing>
      </w:r>
      <w:r>
        <w:rPr>
          <w:rFonts w:hint="default" w:ascii="Times New Roman" w:hAnsi="Times New Roman" w:eastAsia="仿宋_GB2312" w:cs="Times New Roman"/>
          <w:sz w:val="32"/>
          <w:szCs w:val="32"/>
          <w:lang w:val="en-US" w:eastAsia="zh-CN"/>
        </w:rPr>
        <w:drawing>
          <wp:anchor distT="0" distB="0" distL="114300" distR="114300" simplePos="0" relativeHeight="251659264" behindDoc="1" locked="0" layoutInCell="1" allowOverlap="1">
            <wp:simplePos x="0" y="0"/>
            <wp:positionH relativeFrom="column">
              <wp:posOffset>390525</wp:posOffset>
            </wp:positionH>
            <wp:positionV relativeFrom="paragraph">
              <wp:posOffset>363220</wp:posOffset>
            </wp:positionV>
            <wp:extent cx="1640840" cy="1640840"/>
            <wp:effectExtent l="262255" t="243205" r="287655" b="306705"/>
            <wp:wrapNone/>
            <wp:docPr id="3" name="图片 3" descr="医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医保"/>
                    <pic:cNvPicPr>
                      <a:picLocks noChangeAspect="1"/>
                    </pic:cNvPicPr>
                  </pic:nvPicPr>
                  <pic:blipFill>
                    <a:blip r:embed="rId5">
                      <a:clrChange>
                        <a:clrFrom>
                          <a:srgbClr val="FFFEFF">
                            <a:alpha val="100000"/>
                          </a:srgbClr>
                        </a:clrFrom>
                        <a:clrTo>
                          <a:srgbClr val="FFFEFF">
                            <a:alpha val="100000"/>
                            <a:alpha val="0"/>
                          </a:srgbClr>
                        </a:clrTo>
                      </a:clrChange>
                    </a:blip>
                    <a:stretch>
                      <a:fillRect/>
                    </a:stretch>
                  </pic:blipFill>
                  <pic:spPr>
                    <a:xfrm rot="1800000">
                      <a:off x="0" y="0"/>
                      <a:ext cx="1640840" cy="1640840"/>
                    </a:xfrm>
                    <a:prstGeom prst="rect">
                      <a:avLst/>
                    </a:prstGeom>
                  </pic:spPr>
                </pic:pic>
              </a:graphicData>
            </a:graphic>
          </wp:anchor>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baseline"/>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75"/>
        <w:jc w:val="both"/>
        <w:textAlignment w:val="baseline"/>
        <w:rPr>
          <w:rFonts w:hint="default" w:ascii="Times New Roman" w:hAnsi="Times New Roman" w:eastAsia="仿宋_GB2312" w:cs="Times New Roman"/>
          <w:b w:val="0"/>
          <w:bCs w:val="0"/>
          <w:i w:val="0"/>
          <w:iCs w:val="0"/>
          <w:color w:val="auto"/>
          <w:sz w:val="32"/>
          <w:szCs w:val="32"/>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鄂州市医疗保障局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 xml:space="preserve"> 鄂州市卫生健康</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委员会</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 xml:space="preserve">                           </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rPr>
        <w:t>202</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2</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年</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12</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月</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val="en-US" w:eastAsia="zh-CN"/>
        </w:rPr>
        <w:t>26</w:t>
      </w:r>
      <w:r>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baseline"/>
        <w:rPr>
          <w:rFonts w:hint="default" w:ascii="Times New Roman" w:hAnsi="Times New Roman" w:eastAsia="仿宋_GB2312" w:cs="Times New Roman"/>
          <w:b w:val="0"/>
          <w:bCs w:val="0"/>
          <w:i w:val="0"/>
          <w:iCs w:val="0"/>
          <w:caps w:val="0"/>
          <w:color w:val="auto"/>
          <w:spacing w:val="0"/>
          <w:sz w:val="32"/>
          <w:szCs w:val="32"/>
          <w:shd w:val="clear" w:fill="FFFFFF"/>
          <w:vertAlign w:val="baseline"/>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pStyle w:val="2"/>
              <w:ind w:left="0" w:leftChars="0" w:firstLine="280" w:firstLineChars="100"/>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抄</w:t>
            </w:r>
            <w:r>
              <w:rPr>
                <w:rFonts w:hint="default" w:ascii="Times New Roman" w:hAnsi="Times New Roman" w:eastAsia="仿宋_GB2312" w:cs="Times New Roman"/>
                <w:sz w:val="28"/>
                <w:szCs w:val="28"/>
                <w:vertAlign w:val="baseline"/>
                <w:lang w:val="en-US" w:eastAsia="zh-CN"/>
              </w:rPr>
              <w:t>送：市医保服务中心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pStyle w:val="2"/>
              <w:ind w:left="0" w:leftChars="0" w:firstLine="0" w:firstLineChars="0"/>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鄂州市医疗保障局</w:t>
            </w:r>
            <w:r>
              <w:rPr>
                <w:rFonts w:hint="eastAsia" w:ascii="Times New Roman" w:hAnsi="Times New Roman" w:eastAsia="仿宋_GB2312" w:cs="Times New Roman"/>
                <w:sz w:val="28"/>
                <w:szCs w:val="28"/>
                <w:vertAlign w:val="baseline"/>
                <w:lang w:val="en-US" w:eastAsia="zh-CN"/>
              </w:rPr>
              <w:t xml:space="preserve">                   </w:t>
            </w:r>
            <w:r>
              <w:rPr>
                <w:rFonts w:hint="default" w:ascii="Times New Roman" w:hAnsi="Times New Roman" w:eastAsia="仿宋_GB2312" w:cs="Times New Roman"/>
                <w:sz w:val="28"/>
                <w:szCs w:val="28"/>
                <w:vertAlign w:val="baseline"/>
                <w:lang w:val="en-US" w:eastAsia="zh-CN"/>
              </w:rPr>
              <w:t>2022年1</w:t>
            </w:r>
            <w:r>
              <w:rPr>
                <w:rFonts w:hint="eastAsia" w:ascii="Times New Roman" w:hAnsi="Times New Roman" w:eastAsia="仿宋_GB2312" w:cs="Times New Roman"/>
                <w:sz w:val="28"/>
                <w:szCs w:val="28"/>
                <w:vertAlign w:val="baseline"/>
                <w:lang w:val="en-US" w:eastAsia="zh-CN"/>
              </w:rPr>
              <w:t>2</w:t>
            </w:r>
            <w:r>
              <w:rPr>
                <w:rFonts w:hint="default" w:ascii="Times New Roman" w:hAnsi="Times New Roman" w:eastAsia="仿宋_GB2312" w:cs="Times New Roman"/>
                <w:sz w:val="28"/>
                <w:szCs w:val="28"/>
                <w:vertAlign w:val="baseline"/>
                <w:lang w:val="en-US" w:eastAsia="zh-CN"/>
              </w:rPr>
              <w:t>月2</w:t>
            </w:r>
            <w:r>
              <w:rPr>
                <w:rFonts w:hint="eastAsia" w:ascii="Times New Roman" w:hAnsi="Times New Roman" w:eastAsia="仿宋_GB2312" w:cs="Times New Roman"/>
                <w:sz w:val="28"/>
                <w:szCs w:val="28"/>
                <w:vertAlign w:val="baseline"/>
                <w:lang w:val="en-US" w:eastAsia="zh-CN"/>
              </w:rPr>
              <w:t>6</w:t>
            </w:r>
            <w:r>
              <w:rPr>
                <w:rFonts w:hint="default" w:ascii="Times New Roman" w:hAnsi="Times New Roman" w:eastAsia="仿宋_GB2312" w:cs="Times New Roman"/>
                <w:sz w:val="28"/>
                <w:szCs w:val="28"/>
                <w:vertAlign w:val="baseline"/>
                <w:lang w:val="en-US" w:eastAsia="zh-CN"/>
              </w:rPr>
              <w:t>日印发</w:t>
            </w:r>
          </w:p>
        </w:tc>
      </w:tr>
    </w:tbl>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3AA8F0"/>
    <w:multiLevelType w:val="singleLevel"/>
    <w:tmpl w:val="1F3AA8F0"/>
    <w:lvl w:ilvl="0" w:tentative="0">
      <w:start w:val="1"/>
      <w:numFmt w:val="chineseCounting"/>
      <w:suff w:val="nothing"/>
      <w:lvlText w:val="%1、"/>
      <w:lvlJc w:val="left"/>
      <w:pPr>
        <w:ind w:left="-10"/>
      </w:pPr>
      <w:rPr>
        <w:rFonts w:hint="eastAsia" w:ascii="黑体" w:hAnsi="黑体" w:eastAsia="黑体" w:cs="黑体"/>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MWRmNGYyNWNiZWQwMzUyOTgzYmExOTNlMGUwOTcifQ=="/>
  </w:docVars>
  <w:rsids>
    <w:rsidRoot w:val="67CE6723"/>
    <w:rsid w:val="27843252"/>
    <w:rsid w:val="36795B5C"/>
    <w:rsid w:val="3B6844FE"/>
    <w:rsid w:val="3CC64FBE"/>
    <w:rsid w:val="67CE6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Normal (Web)"/>
    <w:basedOn w:val="1"/>
    <w:qFormat/>
    <w:uiPriority w:val="0"/>
    <w:rPr>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1092</Words>
  <Characters>1139</Characters>
  <Lines>0</Lines>
  <Paragraphs>0</Paragraphs>
  <TotalTime>1</TotalTime>
  <ScaleCrop>false</ScaleCrop>
  <LinksUpToDate>false</LinksUpToDate>
  <CharactersWithSpaces>1269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2022-12-23T06:29:00Z</dcterms:created>
  <dc:creator>Administrator</dc:creator>
  <cp:lastModifiedBy>Administrator</cp:lastModifiedBy>
  <cp:lastPrinted>2022-12-23T07:55:00Z</cp:lastPrinted>
  <dcterms:modified xsi:type="dcterms:W3CDTF">2022-12-27T03:49:59Z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E3E4B998D8C4417FA0EFA815FF23AB38</vt:lpwstr>
  </property>
</Properties>
</file>