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600" w:lineRule="atLeast"/>
        <w:ind w:left="2642" w:leftChars="627" w:hanging="1325" w:hangingChars="300"/>
        <w:jc w:val="both"/>
        <w:rPr>
          <w:rFonts w:ascii="宋体" w:hAnsi="宋体" w:eastAsia="宋体" w:cs="宋体"/>
          <w:b/>
          <w:bCs/>
          <w:sz w:val="44"/>
          <w:szCs w:val="44"/>
        </w:rPr>
      </w:pPr>
      <w:bookmarkStart w:id="0" w:name="_GoBack"/>
      <w:bookmarkEnd w:id="0"/>
    </w:p>
    <w:p>
      <w:pPr>
        <w:pStyle w:val="5"/>
        <w:widowControl/>
        <w:spacing w:beforeAutospacing="0" w:afterAutospacing="0" w:line="600" w:lineRule="atLeast"/>
        <w:ind w:left="2209" w:hanging="2209" w:hangingChars="500"/>
        <w:jc w:val="both"/>
        <w:rPr>
          <w:rFonts w:ascii="宋体" w:hAnsi="宋体" w:eastAsia="宋体" w:cs="宋体"/>
          <w:b/>
          <w:bCs/>
          <w:sz w:val="44"/>
          <w:szCs w:val="44"/>
        </w:rPr>
      </w:pPr>
      <w:r>
        <w:rPr>
          <w:rFonts w:hint="eastAsia" w:ascii="宋体" w:hAnsi="宋体" w:eastAsia="宋体" w:cs="宋体"/>
          <w:b/>
          <w:bCs/>
          <w:sz w:val="44"/>
          <w:szCs w:val="44"/>
        </w:rPr>
        <w:t>鄂州市创建“两病”门诊用药保障</w:t>
      </w:r>
      <w:r>
        <w:rPr>
          <w:rFonts w:hint="eastAsia" w:ascii="宋体" w:hAnsi="宋体" w:eastAsia="宋体" w:cs="宋体"/>
          <w:b/>
          <w:bCs/>
          <w:color w:val="000000"/>
          <w:sz w:val="44"/>
          <w:szCs w:val="44"/>
        </w:rPr>
        <w:t>专项行动示范城市</w:t>
      </w:r>
      <w:r>
        <w:rPr>
          <w:rFonts w:hint="eastAsia" w:ascii="宋体" w:hAnsi="宋体" w:eastAsia="宋体" w:cs="宋体"/>
          <w:b/>
          <w:bCs/>
          <w:sz w:val="44"/>
          <w:szCs w:val="44"/>
        </w:rPr>
        <w:t>实施方案</w:t>
      </w:r>
    </w:p>
    <w:p>
      <w:pPr>
        <w:pStyle w:val="5"/>
        <w:widowControl/>
        <w:spacing w:beforeAutospacing="0" w:afterAutospacing="0" w:line="555" w:lineRule="atLeast"/>
        <w:jc w:val="both"/>
        <w:rPr>
          <w:rFonts w:ascii="楷体" w:hAnsi="楷体" w:eastAsia="楷体" w:cs="楷体"/>
          <w:b/>
          <w:bCs/>
          <w:sz w:val="31"/>
          <w:szCs w:val="31"/>
        </w:rPr>
      </w:pPr>
      <w:r>
        <w:rPr>
          <w:rFonts w:ascii="仿宋_GB2312" w:hAnsi="Times New Roman" w:eastAsia="仿宋_GB2312" w:cs="仿宋_GB2312"/>
          <w:sz w:val="31"/>
          <w:szCs w:val="31"/>
        </w:rPr>
        <w:t> </w:t>
      </w:r>
      <w:r>
        <w:rPr>
          <w:rFonts w:hint="eastAsia" w:ascii="仿宋_GB2312" w:hAnsi="Times New Roman" w:eastAsia="仿宋_GB2312" w:cs="仿宋_GB2312"/>
          <w:sz w:val="31"/>
          <w:szCs w:val="31"/>
        </w:rPr>
        <w:t xml:space="preserve">                 </w:t>
      </w:r>
      <w:r>
        <w:rPr>
          <w:rFonts w:hint="eastAsia" w:ascii="楷体" w:hAnsi="楷体" w:eastAsia="楷体" w:cs="楷体"/>
          <w:b/>
          <w:bCs/>
          <w:sz w:val="31"/>
          <w:szCs w:val="31"/>
        </w:rPr>
        <w:t xml:space="preserve">   (征求意见稿)</w:t>
      </w:r>
    </w:p>
    <w:p>
      <w:pPr>
        <w:pStyle w:val="3"/>
      </w:pPr>
    </w:p>
    <w:p>
      <w:pPr>
        <w:pStyle w:val="5"/>
        <w:widowControl/>
        <w:spacing w:beforeAutospacing="0" w:afterAutospacing="0" w:line="560" w:lineRule="exact"/>
        <w:ind w:firstLine="645"/>
        <w:jc w:val="both"/>
        <w:rPr>
          <w:rFonts w:ascii="仿宋" w:hAnsi="仿宋" w:eastAsia="仿宋" w:cs="仿宋"/>
          <w:sz w:val="32"/>
          <w:szCs w:val="32"/>
        </w:rPr>
      </w:pPr>
      <w:r>
        <w:rPr>
          <w:rFonts w:hint="eastAsia" w:ascii="仿宋" w:hAnsi="仿宋" w:eastAsia="仿宋" w:cs="仿宋"/>
          <w:sz w:val="32"/>
          <w:szCs w:val="32"/>
        </w:rPr>
        <w:t>根据国家医保局、国家卫健委《深化城乡居民高血压、糖尿病门诊用药保障和健康管理专项行动方案》和省医保局、省卫健委《关于开展“两病”门诊用药保障专项行动示范城市活动的实施方案</w:t>
      </w:r>
      <w:r>
        <w:rPr>
          <w:rFonts w:hint="eastAsia" w:ascii="仿宋" w:hAnsi="仿宋" w:eastAsia="仿宋" w:cs="仿宋"/>
          <w:sz w:val="32"/>
          <w:szCs w:val="32"/>
          <w:lang w:val="en"/>
        </w:rPr>
        <w:t>的通知</w:t>
      </w:r>
      <w:r>
        <w:rPr>
          <w:rFonts w:hint="eastAsia" w:ascii="仿宋" w:hAnsi="仿宋" w:eastAsia="仿宋" w:cs="仿宋"/>
          <w:sz w:val="32"/>
          <w:szCs w:val="32"/>
        </w:rPr>
        <w:t>》要求，为进一步完善我市城乡居民、城镇职工“高血压、糖尿病”（以下简称“两病”）等门诊用药保障和健康管理机制，探索形成可推广、可复制的模式和经验，特制定本方案。</w:t>
      </w:r>
    </w:p>
    <w:p>
      <w:pPr>
        <w:pStyle w:val="5"/>
        <w:widowControl/>
        <w:spacing w:beforeAutospacing="0" w:afterAutospacing="0" w:line="560" w:lineRule="exact"/>
        <w:ind w:firstLine="645"/>
        <w:jc w:val="both"/>
        <w:rPr>
          <w:rFonts w:ascii="Times New Roman" w:hAnsi="Times New Roman"/>
          <w:sz w:val="32"/>
          <w:szCs w:val="32"/>
        </w:rPr>
      </w:pPr>
      <w:r>
        <w:rPr>
          <w:rFonts w:ascii="黑体" w:hAnsi="宋体" w:eastAsia="黑体" w:cs="黑体"/>
          <w:sz w:val="32"/>
          <w:szCs w:val="32"/>
        </w:rPr>
        <w:t>一、总体目标</w:t>
      </w:r>
    </w:p>
    <w:p>
      <w:pPr>
        <w:pStyle w:val="5"/>
        <w:widowControl/>
        <w:spacing w:beforeAutospacing="0" w:afterAutospacing="0" w:line="560" w:lineRule="exact"/>
        <w:ind w:firstLine="645"/>
        <w:jc w:val="both"/>
        <w:rPr>
          <w:rFonts w:ascii="Times New Roman" w:hAnsi="Times New Roman"/>
          <w:sz w:val="32"/>
          <w:szCs w:val="32"/>
        </w:rPr>
      </w:pPr>
      <w:r>
        <w:rPr>
          <w:rFonts w:ascii="仿宋_GB2312" w:hAnsi="Times New Roman" w:eastAsia="仿宋_GB2312" w:cs="仿宋_GB2312"/>
          <w:sz w:val="32"/>
          <w:szCs w:val="32"/>
        </w:rPr>
        <w:t>贯彻落实党中央、国务院关于“两病”门诊用药保障的决策部署和习近平总书记有关“推进疾病治疗向健康管理转变”的重要指示精神，加快推进“两病”用药保障人群全覆盖，扩大政策受益面，提升人民群众获得感。完善“两病”门诊用药保障机制，加强“两病”门诊药品配备和使用，确保“两病”用药配得齐、开得出，并起到示范引领作用；完善“两病”患者健康管理机制，加强“两病”健康教育和健康管理，着力提升“两病”知晓率、规范化管理率和合理用药率，提高群众防治“两病”等慢性疾病健康意识。</w:t>
      </w:r>
    </w:p>
    <w:p>
      <w:pPr>
        <w:pStyle w:val="5"/>
        <w:widowControl/>
        <w:spacing w:beforeAutospacing="0" w:afterAutospacing="0" w:line="560" w:lineRule="exact"/>
        <w:ind w:firstLine="645"/>
        <w:jc w:val="both"/>
        <w:rPr>
          <w:rFonts w:ascii="Times New Roman" w:hAnsi="Times New Roman"/>
          <w:sz w:val="32"/>
          <w:szCs w:val="32"/>
        </w:rPr>
      </w:pPr>
      <w:r>
        <w:rPr>
          <w:rFonts w:hint="eastAsia" w:ascii="黑体" w:hAnsi="宋体" w:eastAsia="黑体" w:cs="黑体"/>
          <w:sz w:val="32"/>
          <w:szCs w:val="32"/>
        </w:rPr>
        <w:t>二、主要任务及措施</w:t>
      </w:r>
    </w:p>
    <w:p>
      <w:pPr>
        <w:pStyle w:val="5"/>
        <w:widowControl/>
        <w:spacing w:beforeAutospacing="0" w:afterAutospacing="0" w:line="560" w:lineRule="exact"/>
        <w:ind w:firstLine="645"/>
        <w:jc w:val="both"/>
        <w:rPr>
          <w:rFonts w:ascii="Times New Roman" w:hAnsi="Times New Roman"/>
          <w:b/>
          <w:bCs/>
          <w:sz w:val="32"/>
          <w:szCs w:val="32"/>
        </w:rPr>
      </w:pPr>
      <w:r>
        <w:rPr>
          <w:rFonts w:ascii="楷体_GB2312" w:hAnsi="Times New Roman" w:eastAsia="楷体_GB2312" w:cs="楷体_GB2312"/>
          <w:b/>
          <w:bCs/>
          <w:sz w:val="32"/>
          <w:szCs w:val="32"/>
        </w:rPr>
        <w:t>（</w:t>
      </w:r>
      <w:r>
        <w:rPr>
          <w:rFonts w:hint="eastAsia" w:ascii="楷体_GB2312" w:hAnsi="Times New Roman" w:eastAsia="楷体_GB2312" w:cs="楷体_GB2312"/>
          <w:b/>
          <w:bCs/>
          <w:sz w:val="32"/>
          <w:szCs w:val="32"/>
        </w:rPr>
        <w:t>一</w:t>
      </w:r>
      <w:r>
        <w:rPr>
          <w:rFonts w:ascii="楷体_GB2312" w:hAnsi="Times New Roman" w:eastAsia="楷体_GB2312" w:cs="楷体_GB2312"/>
          <w:b/>
          <w:bCs/>
          <w:sz w:val="32"/>
          <w:szCs w:val="32"/>
        </w:rPr>
        <w:t>）提高保障待遇，完善医疗保障政策</w:t>
      </w:r>
    </w:p>
    <w:p>
      <w:pPr>
        <w:pStyle w:val="5"/>
        <w:widowControl/>
        <w:spacing w:beforeAutospacing="0" w:afterAutospacing="0" w:line="560" w:lineRule="exact"/>
        <w:ind w:firstLine="964" w:firstLineChars="300"/>
        <w:jc w:val="both"/>
        <w:rPr>
          <w:rFonts w:ascii="仿宋_GB2312" w:hAnsi="Times New Roman" w:eastAsia="仿宋_GB2312" w:cs="仿宋_GB2312"/>
          <w:b/>
          <w:bCs/>
          <w:sz w:val="32"/>
          <w:szCs w:val="32"/>
        </w:rPr>
      </w:pPr>
      <w:r>
        <w:rPr>
          <w:rFonts w:hint="eastAsia" w:ascii="仿宋_GB2312" w:hAnsi="Times New Roman" w:eastAsia="仿宋_GB2312" w:cs="仿宋_GB2312"/>
          <w:b/>
          <w:bCs/>
          <w:sz w:val="32"/>
          <w:szCs w:val="32"/>
        </w:rPr>
        <w:t>1</w:t>
      </w:r>
      <w:r>
        <w:rPr>
          <w:rFonts w:ascii="仿宋_GB2312" w:hAnsi="Times New Roman" w:eastAsia="仿宋_GB2312" w:cs="仿宋_GB2312"/>
          <w:b/>
          <w:bCs/>
          <w:sz w:val="32"/>
          <w:szCs w:val="32"/>
        </w:rPr>
        <w:t>.待遇享受对象</w:t>
      </w:r>
    </w:p>
    <w:p>
      <w:pPr>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（1）门诊普通“两病”享受对象：</w:t>
      </w:r>
      <w:r>
        <w:rPr>
          <w:rFonts w:hint="eastAsia" w:ascii="仿宋_GB2312" w:hAnsi="仿宋_GB2312" w:eastAsia="仿宋_GB2312" w:cs="仿宋_GB2312"/>
          <w:color w:val="000000" w:themeColor="text1"/>
          <w:kern w:val="0"/>
          <w:sz w:val="32"/>
          <w:szCs w:val="32"/>
          <w14:textFill>
            <w14:solidFill>
              <w14:schemeClr w14:val="tx1"/>
            </w14:solidFill>
          </w14:textFill>
        </w:rPr>
        <w:t>城乡居民、城镇职工患“两病”在二级及以上定点医疗机构住院治疗但没有通过门诊重症“两病”医保评审的</w:t>
      </w:r>
      <w:r>
        <w:rPr>
          <w:rFonts w:ascii="仿宋_GB2312" w:hAnsi="Times New Roman" w:eastAsia="仿宋_GB2312" w:cs="仿宋_GB2312"/>
          <w:sz w:val="32"/>
          <w:szCs w:val="32"/>
        </w:rPr>
        <w:t>参保人员</w:t>
      </w:r>
      <w:r>
        <w:rPr>
          <w:rFonts w:hint="eastAsia" w:ascii="仿宋_GB2312" w:hAnsi="Times New Roman" w:eastAsia="仿宋_GB2312" w:cs="仿宋_GB2312"/>
          <w:sz w:val="32"/>
          <w:szCs w:val="32"/>
        </w:rPr>
        <w:t>；</w:t>
      </w:r>
      <w:r>
        <w:rPr>
          <w:rFonts w:hint="eastAsia" w:ascii="仿宋_GB2312" w:hAnsi="仿宋_GB2312" w:eastAsia="仿宋_GB2312" w:cs="仿宋_GB2312"/>
          <w:color w:val="000000" w:themeColor="text1"/>
          <w:kern w:val="0"/>
          <w:sz w:val="32"/>
          <w:szCs w:val="32"/>
          <w14:textFill>
            <w14:solidFill>
              <w14:schemeClr w14:val="tx1"/>
            </w14:solidFill>
          </w14:textFill>
        </w:rPr>
        <w:t>城乡居民、城镇职工患“两病”已纳入公共卫生慢性病管理并建立了健康档案的</w:t>
      </w:r>
      <w:r>
        <w:rPr>
          <w:rFonts w:ascii="仿宋_GB2312" w:hAnsi="Times New Roman" w:eastAsia="仿宋_GB2312" w:cs="仿宋_GB2312"/>
          <w:sz w:val="32"/>
          <w:szCs w:val="32"/>
        </w:rPr>
        <w:t>基本医疗保险参保人员（以下简称参保人员）</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pStyle w:val="5"/>
        <w:widowControl/>
        <w:spacing w:beforeAutospacing="0" w:afterAutospacing="0" w:line="560" w:lineRule="exact"/>
        <w:ind w:firstLine="645"/>
        <w:jc w:val="both"/>
        <w:rPr>
          <w:rFonts w:ascii="Times New Roman" w:hAnsi="Times New Roman"/>
          <w:sz w:val="32"/>
          <w:szCs w:val="32"/>
        </w:rPr>
      </w:pPr>
      <w:r>
        <w:rPr>
          <w:rFonts w:hint="eastAsia" w:ascii="仿宋_GB2312" w:hAnsi="仿宋_GB2312" w:eastAsia="仿宋_GB2312" w:cs="仿宋_GB2312"/>
          <w:b/>
          <w:bCs/>
          <w:color w:val="000000" w:themeColor="text1"/>
          <w:sz w:val="32"/>
          <w:szCs w:val="32"/>
          <w14:textFill>
            <w14:solidFill>
              <w14:schemeClr w14:val="tx1"/>
            </w14:solidFill>
          </w14:textFill>
        </w:rPr>
        <w:t>（2）门诊重症“两病”享受对象：</w:t>
      </w:r>
      <w:r>
        <w:rPr>
          <w:rFonts w:hint="eastAsia" w:ascii="仿宋_GB2312" w:hAnsi="仿宋_GB2312" w:eastAsia="仿宋_GB2312" w:cs="仿宋_GB2312"/>
          <w:color w:val="000000" w:themeColor="text1"/>
          <w:sz w:val="32"/>
          <w:szCs w:val="32"/>
          <w14:textFill>
            <w14:solidFill>
              <w14:schemeClr w14:val="tx1"/>
            </w14:solidFill>
          </w14:textFill>
        </w:rPr>
        <w:t>城乡居民、城镇职工患“两病”并通过门诊重症“两病”医保评审的</w:t>
      </w:r>
      <w:r>
        <w:rPr>
          <w:rFonts w:ascii="仿宋_GB2312" w:hAnsi="Times New Roman" w:eastAsia="仿宋_GB2312" w:cs="仿宋_GB2312"/>
          <w:sz w:val="32"/>
          <w:szCs w:val="32"/>
        </w:rPr>
        <w:t>参保人员。</w:t>
      </w:r>
    </w:p>
    <w:p>
      <w:pPr>
        <w:pStyle w:val="5"/>
        <w:widowControl/>
        <w:spacing w:beforeAutospacing="0" w:afterAutospacing="0" w:line="560" w:lineRule="exact"/>
        <w:ind w:firstLine="643" w:firstLineChars="200"/>
        <w:jc w:val="both"/>
        <w:rPr>
          <w:rFonts w:ascii="Times New Roman" w:hAnsi="Times New Roman" w:eastAsia="仿宋_GB2312"/>
          <w:sz w:val="32"/>
          <w:szCs w:val="32"/>
        </w:rPr>
      </w:pPr>
      <w:r>
        <w:rPr>
          <w:rFonts w:hint="eastAsia" w:ascii="仿宋_GB2312" w:hAnsi="Times New Roman" w:eastAsia="仿宋_GB2312" w:cs="仿宋_GB2312"/>
          <w:b/>
          <w:bCs/>
          <w:sz w:val="32"/>
          <w:szCs w:val="32"/>
        </w:rPr>
        <w:t>2</w:t>
      </w:r>
      <w:r>
        <w:rPr>
          <w:rFonts w:ascii="仿宋_GB2312" w:hAnsi="Times New Roman" w:eastAsia="仿宋_GB2312" w:cs="仿宋_GB2312"/>
          <w:b/>
          <w:bCs/>
          <w:sz w:val="32"/>
          <w:szCs w:val="32"/>
        </w:rPr>
        <w:t>.待遇享受条件。</w:t>
      </w:r>
      <w:r>
        <w:rPr>
          <w:rFonts w:ascii="仿宋_GB2312" w:hAnsi="Times New Roman" w:eastAsia="仿宋_GB2312" w:cs="仿宋_GB2312"/>
          <w:sz w:val="32"/>
          <w:szCs w:val="32"/>
        </w:rPr>
        <w:t>符合慢性病门诊待遇享受条件的参保人员</w:t>
      </w:r>
      <w:r>
        <w:rPr>
          <w:rFonts w:hint="eastAsia" w:ascii="仿宋_GB2312" w:hAnsi="Times New Roman" w:eastAsia="仿宋_GB2312" w:cs="仿宋_GB2312"/>
          <w:sz w:val="32"/>
          <w:szCs w:val="32"/>
        </w:rPr>
        <w:t>经</w:t>
      </w:r>
      <w:r>
        <w:rPr>
          <w:rFonts w:ascii="仿宋_GB2312" w:hAnsi="Times New Roman" w:eastAsia="仿宋_GB2312" w:cs="仿宋_GB2312"/>
          <w:sz w:val="32"/>
          <w:szCs w:val="32"/>
        </w:rPr>
        <w:t>“两病”认定备案后</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开始享受“两病”门诊用药保障待遇</w:t>
      </w:r>
      <w:r>
        <w:rPr>
          <w:rFonts w:hint="eastAsia" w:ascii="仿宋_GB2312" w:hAnsi="Times New Roman" w:eastAsia="仿宋_GB2312" w:cs="仿宋_GB2312"/>
          <w:sz w:val="32"/>
          <w:szCs w:val="32"/>
        </w:rPr>
        <w:t>。</w:t>
      </w:r>
    </w:p>
    <w:p>
      <w:pPr>
        <w:pStyle w:val="5"/>
        <w:widowControl/>
        <w:spacing w:beforeAutospacing="0" w:afterAutospacing="0" w:line="560" w:lineRule="exact"/>
        <w:ind w:firstLine="643" w:firstLineChars="200"/>
        <w:jc w:val="both"/>
        <w:rPr>
          <w:rFonts w:ascii="Times New Roman" w:hAnsi="Times New Roman" w:eastAsia="仿宋_GB2312"/>
          <w:sz w:val="32"/>
          <w:szCs w:val="32"/>
        </w:rPr>
      </w:pPr>
      <w:r>
        <w:rPr>
          <w:rFonts w:hint="eastAsia" w:ascii="仿宋_GB2312" w:hAnsi="Times New Roman" w:eastAsia="仿宋_GB2312" w:cs="仿宋_GB2312"/>
          <w:b/>
          <w:bCs/>
          <w:sz w:val="32"/>
          <w:szCs w:val="32"/>
        </w:rPr>
        <w:t>3.</w:t>
      </w:r>
      <w:r>
        <w:rPr>
          <w:rFonts w:ascii="仿宋_GB2312" w:hAnsi="Times New Roman" w:eastAsia="仿宋_GB2312" w:cs="仿宋_GB2312"/>
          <w:b/>
          <w:bCs/>
          <w:sz w:val="32"/>
          <w:szCs w:val="32"/>
        </w:rPr>
        <w:t>待遇保障范围。</w:t>
      </w:r>
      <w:r>
        <w:rPr>
          <w:rFonts w:ascii="仿宋_GB2312" w:hAnsi="Times New Roman" w:eastAsia="仿宋_GB2312" w:cs="仿宋_GB2312"/>
          <w:sz w:val="32"/>
          <w:szCs w:val="32"/>
        </w:rPr>
        <w:t>参保人员患“两病”在</w:t>
      </w:r>
      <w:r>
        <w:rPr>
          <w:rFonts w:hint="eastAsia" w:ascii="仿宋_GB2312" w:hAnsi="Times New Roman" w:eastAsia="仿宋_GB2312" w:cs="仿宋_GB2312"/>
          <w:sz w:val="32"/>
          <w:szCs w:val="32"/>
        </w:rPr>
        <w:t>定点</w:t>
      </w:r>
      <w:r>
        <w:rPr>
          <w:rFonts w:ascii="仿宋_GB2312" w:hAnsi="Times New Roman" w:eastAsia="仿宋_GB2312" w:cs="仿宋_GB2312"/>
          <w:sz w:val="32"/>
          <w:szCs w:val="32"/>
        </w:rPr>
        <w:t>医疗机构门诊</w:t>
      </w:r>
      <w:r>
        <w:rPr>
          <w:rFonts w:hint="eastAsia" w:ascii="仿宋_GB2312" w:hAnsi="Times New Roman" w:eastAsia="仿宋_GB2312" w:cs="仿宋_GB2312"/>
          <w:sz w:val="32"/>
          <w:szCs w:val="32"/>
        </w:rPr>
        <w:t>就医</w:t>
      </w:r>
      <w:r>
        <w:rPr>
          <w:rFonts w:ascii="仿宋_GB2312" w:hAnsi="Times New Roman" w:eastAsia="仿宋_GB2312" w:cs="仿宋_GB2312"/>
          <w:sz w:val="32"/>
          <w:szCs w:val="32"/>
        </w:rPr>
        <w:t>和定点零售药店</w:t>
      </w:r>
      <w:r>
        <w:rPr>
          <w:rFonts w:hint="eastAsia" w:ascii="仿宋_GB2312" w:hAnsi="Times New Roman" w:eastAsia="仿宋_GB2312" w:cs="仿宋_GB2312"/>
          <w:sz w:val="32"/>
          <w:szCs w:val="32"/>
        </w:rPr>
        <w:t>购药</w:t>
      </w:r>
      <w:r>
        <w:rPr>
          <w:rFonts w:ascii="仿宋_GB2312" w:hAnsi="Times New Roman" w:eastAsia="仿宋_GB2312" w:cs="仿宋_GB2312"/>
          <w:sz w:val="32"/>
          <w:szCs w:val="32"/>
        </w:rPr>
        <w:t>发生</w:t>
      </w:r>
      <w:r>
        <w:rPr>
          <w:rFonts w:hint="eastAsia" w:ascii="仿宋_GB2312" w:hAnsi="Times New Roman" w:eastAsia="仿宋_GB2312" w:cs="仿宋_GB2312"/>
          <w:sz w:val="32"/>
          <w:szCs w:val="32"/>
        </w:rPr>
        <w:t>的政策范围内门诊</w:t>
      </w:r>
      <w:r>
        <w:rPr>
          <w:rFonts w:ascii="仿宋_GB2312" w:hAnsi="Times New Roman" w:eastAsia="仿宋_GB2312" w:cs="仿宋_GB2312"/>
          <w:sz w:val="32"/>
          <w:szCs w:val="32"/>
        </w:rPr>
        <w:t>“两病”</w:t>
      </w:r>
      <w:r>
        <w:rPr>
          <w:rFonts w:hint="eastAsia" w:ascii="仿宋_GB2312" w:hAnsi="Times New Roman" w:eastAsia="仿宋_GB2312" w:cs="仿宋_GB2312"/>
          <w:sz w:val="32"/>
          <w:szCs w:val="32"/>
        </w:rPr>
        <w:t>治疗</w:t>
      </w:r>
      <w:r>
        <w:rPr>
          <w:rFonts w:ascii="仿宋_GB2312" w:hAnsi="Times New Roman" w:eastAsia="仿宋_GB2312" w:cs="仿宋_GB2312"/>
          <w:sz w:val="32"/>
          <w:szCs w:val="32"/>
        </w:rPr>
        <w:t>药品费用纳入“两病”门诊用药保障范围。</w:t>
      </w:r>
      <w:r>
        <w:rPr>
          <w:rFonts w:hint="eastAsia" w:ascii="仿宋_GB2312" w:hAnsi="Times New Roman" w:eastAsia="仿宋_GB2312" w:cs="仿宋_GB2312"/>
          <w:sz w:val="32"/>
          <w:szCs w:val="32"/>
        </w:rPr>
        <w:t xml:space="preserve"> </w:t>
      </w:r>
    </w:p>
    <w:p>
      <w:pPr>
        <w:pStyle w:val="5"/>
        <w:widowControl/>
        <w:spacing w:beforeAutospacing="0" w:afterAutospacing="0" w:line="560" w:lineRule="exact"/>
        <w:ind w:firstLine="645"/>
        <w:jc w:val="both"/>
        <w:rPr>
          <w:rFonts w:ascii="仿宋_GB2312" w:hAnsi="Times New Roman" w:eastAsia="仿宋_GB2312" w:cs="仿宋_GB2312"/>
          <w:b/>
          <w:bCs/>
          <w:sz w:val="32"/>
          <w:szCs w:val="32"/>
        </w:rPr>
      </w:pPr>
      <w:r>
        <w:rPr>
          <w:rFonts w:hint="eastAsia" w:ascii="仿宋_GB2312" w:hAnsi="Times New Roman" w:eastAsia="仿宋_GB2312" w:cs="仿宋_GB2312"/>
          <w:b/>
          <w:bCs/>
          <w:sz w:val="32"/>
          <w:szCs w:val="32"/>
        </w:rPr>
        <w:t>4</w:t>
      </w:r>
      <w:r>
        <w:rPr>
          <w:rFonts w:ascii="仿宋_GB2312" w:hAnsi="Times New Roman" w:eastAsia="仿宋_GB2312" w:cs="仿宋_GB2312"/>
          <w:b/>
          <w:bCs/>
          <w:sz w:val="32"/>
          <w:szCs w:val="32"/>
        </w:rPr>
        <w:t>.待遇保障标准</w:t>
      </w:r>
    </w:p>
    <w:p>
      <w:pPr>
        <w:pStyle w:val="5"/>
        <w:widowControl/>
        <w:spacing w:beforeAutospacing="0" w:afterAutospacing="0" w:line="560" w:lineRule="exact"/>
        <w:ind w:firstLine="645"/>
        <w:jc w:val="both"/>
        <w:rPr>
          <w:rFonts w:ascii="仿宋_GB2312" w:hAnsi="Times New Roman" w:eastAsia="仿宋_GB2312" w:cs="仿宋_GB2312"/>
          <w:sz w:val="32"/>
          <w:szCs w:val="32"/>
        </w:rPr>
      </w:pPr>
      <w:r>
        <w:rPr>
          <w:rFonts w:hint="eastAsia" w:ascii="仿宋_GB2312" w:hAnsi="Times New Roman" w:eastAsia="仿宋_GB2312" w:cs="仿宋_GB2312"/>
          <w:b/>
          <w:bCs/>
          <w:sz w:val="32"/>
          <w:szCs w:val="32"/>
        </w:rPr>
        <w:t>（1）</w:t>
      </w:r>
      <w:r>
        <w:rPr>
          <w:rFonts w:ascii="仿宋_GB2312" w:hAnsi="Times New Roman" w:eastAsia="仿宋_GB2312" w:cs="仿宋_GB2312"/>
          <w:sz w:val="32"/>
          <w:szCs w:val="32"/>
        </w:rPr>
        <w:t>城乡居民医保</w:t>
      </w:r>
      <w:r>
        <w:rPr>
          <w:rFonts w:hint="eastAsia" w:ascii="仿宋_GB2312" w:hAnsi="仿宋_GB2312" w:eastAsia="仿宋_GB2312" w:cs="仿宋_GB2312"/>
          <w:b/>
          <w:bCs/>
          <w:color w:val="000000" w:themeColor="text1"/>
          <w:sz w:val="32"/>
          <w:szCs w:val="32"/>
          <w14:textFill>
            <w14:solidFill>
              <w14:schemeClr w14:val="tx1"/>
            </w14:solidFill>
          </w14:textFill>
        </w:rPr>
        <w:t>门诊普通</w:t>
      </w:r>
      <w:r>
        <w:rPr>
          <w:rFonts w:ascii="仿宋_GB2312" w:hAnsi="Times New Roman" w:eastAsia="仿宋_GB2312" w:cs="仿宋_GB2312"/>
          <w:sz w:val="32"/>
          <w:szCs w:val="32"/>
        </w:rPr>
        <w:t>“两病”</w:t>
      </w:r>
      <w:r>
        <w:rPr>
          <w:rFonts w:hint="eastAsia" w:ascii="仿宋_GB2312" w:hAnsi="Times New Roman" w:eastAsia="仿宋_GB2312" w:cs="仿宋_GB2312"/>
          <w:sz w:val="32"/>
          <w:szCs w:val="32"/>
        </w:rPr>
        <w:t>、</w:t>
      </w:r>
      <w:r>
        <w:rPr>
          <w:rFonts w:hint="eastAsia" w:ascii="仿宋_GB2312" w:hAnsi="仿宋_GB2312" w:eastAsia="仿宋_GB2312" w:cs="仿宋_GB2312"/>
          <w:b/>
          <w:bCs/>
          <w:color w:val="000000" w:themeColor="text1"/>
          <w:sz w:val="32"/>
          <w:szCs w:val="32"/>
          <w14:textFill>
            <w14:solidFill>
              <w14:schemeClr w14:val="tx1"/>
            </w14:solidFill>
          </w14:textFill>
        </w:rPr>
        <w:t>门诊</w:t>
      </w:r>
      <w:r>
        <w:rPr>
          <w:rFonts w:hint="eastAsia" w:ascii="仿宋_GB2312" w:hAnsi="Times New Roman" w:eastAsia="仿宋_GB2312" w:cs="仿宋_GB2312"/>
          <w:b/>
          <w:bCs/>
          <w:sz w:val="32"/>
          <w:szCs w:val="32"/>
        </w:rPr>
        <w:t>重症</w:t>
      </w:r>
      <w:r>
        <w:rPr>
          <w:rFonts w:ascii="仿宋_GB2312" w:hAnsi="Times New Roman" w:eastAsia="仿宋_GB2312" w:cs="仿宋_GB2312"/>
          <w:sz w:val="32"/>
          <w:szCs w:val="32"/>
        </w:rPr>
        <w:t>“两病门诊用药保障不设起付线，设慢性病门诊最高支</w:t>
      </w:r>
      <w:r>
        <w:rPr>
          <w:rFonts w:hint="eastAsia" w:ascii="仿宋_GB2312" w:hAnsi="Times New Roman" w:eastAsia="仿宋_GB2312" w:cs="仿宋_GB2312"/>
          <w:sz w:val="32"/>
          <w:szCs w:val="32"/>
        </w:rPr>
        <w:t>付</w:t>
      </w:r>
      <w:r>
        <w:rPr>
          <w:rFonts w:ascii="仿宋_GB2312" w:hAnsi="Times New Roman" w:eastAsia="仿宋_GB2312" w:cs="仿宋_GB2312"/>
          <w:sz w:val="32"/>
          <w:szCs w:val="32"/>
        </w:rPr>
        <w:t>限额</w:t>
      </w:r>
      <w:r>
        <w:rPr>
          <w:rFonts w:hint="eastAsia" w:ascii="仿宋_GB2312" w:hAnsi="Times New Roman" w:eastAsia="仿宋_GB2312" w:cs="仿宋_GB2312"/>
          <w:sz w:val="32"/>
          <w:szCs w:val="32"/>
        </w:rPr>
        <w:t>分别</w:t>
      </w:r>
      <w:r>
        <w:rPr>
          <w:rFonts w:ascii="仿宋_GB2312" w:hAnsi="Times New Roman" w:eastAsia="仿宋_GB2312" w:cs="仿宋_GB2312"/>
          <w:sz w:val="32"/>
          <w:szCs w:val="32"/>
        </w:rPr>
        <w:t>为</w:t>
      </w:r>
      <w:r>
        <w:rPr>
          <w:rFonts w:ascii="仿宋_GB2312" w:hAnsi="Times New Roman" w:eastAsia="仿宋_GB2312" w:cs="仿宋_GB2312"/>
          <w:b/>
          <w:bCs/>
          <w:sz w:val="32"/>
          <w:szCs w:val="32"/>
        </w:rPr>
        <w:t>每年度</w:t>
      </w:r>
      <w:r>
        <w:rPr>
          <w:rFonts w:hint="eastAsia" w:ascii="仿宋_GB2312" w:hAnsi="Times New Roman" w:eastAsia="仿宋_GB2312" w:cs="仿宋_GB2312"/>
          <w:b/>
          <w:bCs/>
          <w:sz w:val="32"/>
          <w:szCs w:val="32"/>
        </w:rPr>
        <w:t>100</w:t>
      </w:r>
      <w:r>
        <w:rPr>
          <w:rFonts w:ascii="仿宋_GB2312" w:hAnsi="Times New Roman" w:eastAsia="仿宋_GB2312" w:cs="仿宋_GB2312"/>
          <w:b/>
          <w:bCs/>
          <w:sz w:val="32"/>
          <w:szCs w:val="32"/>
        </w:rPr>
        <w:t>0元</w:t>
      </w:r>
      <w:r>
        <w:rPr>
          <w:rFonts w:hint="eastAsia" w:ascii="仿宋_GB2312" w:hAnsi="Times New Roman" w:eastAsia="仿宋_GB2312" w:cs="仿宋_GB2312"/>
          <w:b/>
          <w:bCs/>
          <w:sz w:val="32"/>
          <w:szCs w:val="32"/>
        </w:rPr>
        <w:t>、200</w:t>
      </w:r>
      <w:r>
        <w:rPr>
          <w:rFonts w:ascii="仿宋_GB2312" w:hAnsi="Times New Roman" w:eastAsia="仿宋_GB2312" w:cs="仿宋_GB2312"/>
          <w:b/>
          <w:bCs/>
          <w:sz w:val="32"/>
          <w:szCs w:val="32"/>
        </w:rPr>
        <w:t>0元；</w:t>
      </w:r>
      <w:r>
        <w:rPr>
          <w:rFonts w:ascii="仿宋_GB2312" w:hAnsi="Times New Roman" w:eastAsia="仿宋_GB2312" w:cs="仿宋_GB2312"/>
          <w:sz w:val="32"/>
          <w:szCs w:val="32"/>
        </w:rPr>
        <w:t>慢性病门诊最高支</w:t>
      </w:r>
      <w:r>
        <w:rPr>
          <w:rFonts w:hint="eastAsia" w:ascii="仿宋_GB2312" w:hAnsi="Times New Roman" w:eastAsia="仿宋_GB2312" w:cs="仿宋_GB2312"/>
          <w:sz w:val="32"/>
          <w:szCs w:val="32"/>
        </w:rPr>
        <w:t>付</w:t>
      </w:r>
      <w:r>
        <w:rPr>
          <w:rFonts w:ascii="仿宋_GB2312" w:hAnsi="Times New Roman" w:eastAsia="仿宋_GB2312" w:cs="仿宋_GB2312"/>
          <w:sz w:val="32"/>
          <w:szCs w:val="32"/>
        </w:rPr>
        <w:t>限额以下的医疗费用</w:t>
      </w:r>
      <w:r>
        <w:rPr>
          <w:rFonts w:hint="eastAsia" w:ascii="仿宋_GB2312" w:hAnsi="Times New Roman" w:eastAsia="仿宋_GB2312" w:cs="仿宋_GB2312"/>
          <w:sz w:val="32"/>
          <w:szCs w:val="32"/>
        </w:rPr>
        <w:t>一级及以下、二级、三级</w:t>
      </w:r>
      <w:r>
        <w:rPr>
          <w:rFonts w:ascii="仿宋_GB2312" w:hAnsi="Times New Roman" w:eastAsia="仿宋_GB2312" w:cs="仿宋_GB2312"/>
          <w:sz w:val="32"/>
          <w:szCs w:val="32"/>
        </w:rPr>
        <w:t>医疗机构报销比例</w:t>
      </w:r>
      <w:r>
        <w:rPr>
          <w:rFonts w:hint="eastAsia" w:ascii="仿宋_GB2312" w:hAnsi="Times New Roman" w:eastAsia="仿宋_GB2312" w:cs="仿宋_GB2312"/>
          <w:sz w:val="32"/>
          <w:szCs w:val="32"/>
        </w:rPr>
        <w:t>分别</w:t>
      </w:r>
      <w:r>
        <w:rPr>
          <w:rFonts w:ascii="仿宋_GB2312" w:hAnsi="Times New Roman" w:eastAsia="仿宋_GB2312" w:cs="仿宋_GB2312"/>
          <w:sz w:val="32"/>
          <w:szCs w:val="32"/>
        </w:rPr>
        <w:t>为</w:t>
      </w:r>
      <w:r>
        <w:rPr>
          <w:rFonts w:hint="eastAsia" w:ascii="仿宋_GB2312" w:hAnsi="Times New Roman" w:eastAsia="仿宋_GB2312" w:cs="仿宋_GB2312"/>
          <w:sz w:val="32"/>
          <w:szCs w:val="32"/>
        </w:rPr>
        <w:t>6</w:t>
      </w:r>
      <w:r>
        <w:rPr>
          <w:rFonts w:hint="eastAsia" w:ascii="仿宋_GB2312" w:hAnsi="Times New Roman" w:eastAsia="仿宋_GB2312" w:cs="仿宋_GB2312"/>
          <w:b/>
          <w:bCs/>
          <w:sz w:val="32"/>
          <w:szCs w:val="32"/>
        </w:rPr>
        <w:t>0</w:t>
      </w:r>
      <w:r>
        <w:rPr>
          <w:rFonts w:ascii="仿宋_GB2312" w:hAnsi="Times New Roman" w:eastAsia="仿宋_GB2312" w:cs="仿宋_GB2312"/>
          <w:b/>
          <w:bCs/>
          <w:sz w:val="32"/>
          <w:szCs w:val="32"/>
        </w:rPr>
        <w:t>%、</w:t>
      </w:r>
      <w:r>
        <w:rPr>
          <w:rFonts w:hint="eastAsia" w:ascii="仿宋_GB2312" w:hAnsi="Times New Roman" w:eastAsia="仿宋_GB2312" w:cs="仿宋_GB2312"/>
          <w:b/>
          <w:bCs/>
          <w:sz w:val="32"/>
          <w:szCs w:val="32"/>
        </w:rPr>
        <w:t>50</w:t>
      </w:r>
      <w:r>
        <w:rPr>
          <w:rFonts w:ascii="仿宋_GB2312" w:hAnsi="Times New Roman" w:eastAsia="仿宋_GB2312" w:cs="仿宋_GB2312"/>
          <w:b/>
          <w:bCs/>
          <w:sz w:val="32"/>
          <w:szCs w:val="32"/>
        </w:rPr>
        <w:t>%、</w:t>
      </w:r>
      <w:r>
        <w:rPr>
          <w:rFonts w:hint="eastAsia" w:ascii="仿宋_GB2312" w:hAnsi="Times New Roman" w:eastAsia="仿宋_GB2312" w:cs="仿宋_GB2312"/>
          <w:b/>
          <w:bCs/>
          <w:sz w:val="32"/>
          <w:szCs w:val="32"/>
        </w:rPr>
        <w:t>40</w:t>
      </w:r>
      <w:r>
        <w:rPr>
          <w:rFonts w:ascii="仿宋_GB2312" w:hAnsi="Times New Roman" w:eastAsia="仿宋_GB2312" w:cs="仿宋_GB2312"/>
          <w:b/>
          <w:bCs/>
          <w:sz w:val="32"/>
          <w:szCs w:val="32"/>
        </w:rPr>
        <w:t>%</w:t>
      </w:r>
      <w:r>
        <w:rPr>
          <w:rFonts w:hint="eastAsia" w:ascii="仿宋_GB2312" w:hAnsi="Times New Roman" w:eastAsia="仿宋_GB2312" w:cs="仿宋_GB2312"/>
          <w:sz w:val="32"/>
          <w:szCs w:val="32"/>
        </w:rPr>
        <w:t>。</w:t>
      </w:r>
    </w:p>
    <w:p>
      <w:pPr>
        <w:pStyle w:val="5"/>
        <w:widowControl/>
        <w:numPr>
          <w:ilvl w:val="0"/>
          <w:numId w:val="1"/>
        </w:numPr>
        <w:spacing w:beforeAutospacing="0" w:afterAutospacing="0" w:line="560" w:lineRule="exact"/>
        <w:ind w:firstLine="645"/>
        <w:jc w:val="both"/>
        <w:rPr>
          <w:rFonts w:ascii="仿宋_GB2312" w:hAnsi="Times New Roman" w:eastAsia="仿宋_GB2312" w:cs="仿宋_GB2312"/>
          <w:sz w:val="32"/>
          <w:szCs w:val="32"/>
        </w:rPr>
      </w:pPr>
      <w:r>
        <w:rPr>
          <w:rFonts w:hint="eastAsia" w:ascii="仿宋_GB2312" w:hAnsi="Times New Roman" w:eastAsia="仿宋_GB2312" w:cs="仿宋_GB2312"/>
          <w:sz w:val="32"/>
          <w:szCs w:val="32"/>
        </w:rPr>
        <w:t>城镇职工</w:t>
      </w:r>
      <w:r>
        <w:rPr>
          <w:rFonts w:ascii="仿宋_GB2312" w:hAnsi="Times New Roman" w:eastAsia="仿宋_GB2312" w:cs="仿宋_GB2312"/>
          <w:sz w:val="32"/>
          <w:szCs w:val="32"/>
        </w:rPr>
        <w:t>医保</w:t>
      </w:r>
      <w:r>
        <w:rPr>
          <w:rFonts w:hint="eastAsia" w:ascii="仿宋_GB2312" w:hAnsi="仿宋_GB2312" w:eastAsia="仿宋_GB2312" w:cs="仿宋_GB2312"/>
          <w:b/>
          <w:bCs/>
          <w:color w:val="000000" w:themeColor="text1"/>
          <w:sz w:val="32"/>
          <w:szCs w:val="32"/>
          <w14:textFill>
            <w14:solidFill>
              <w14:schemeClr w14:val="tx1"/>
            </w14:solidFill>
          </w14:textFill>
        </w:rPr>
        <w:t>门诊普通</w:t>
      </w:r>
      <w:r>
        <w:rPr>
          <w:rFonts w:ascii="仿宋_GB2312" w:hAnsi="Times New Roman" w:eastAsia="仿宋_GB2312" w:cs="仿宋_GB2312"/>
          <w:sz w:val="32"/>
          <w:szCs w:val="32"/>
        </w:rPr>
        <w:t>“两病”</w:t>
      </w:r>
      <w:r>
        <w:rPr>
          <w:rFonts w:hint="eastAsia" w:ascii="仿宋_GB2312" w:hAnsi="Times New Roman" w:eastAsia="仿宋_GB2312" w:cs="仿宋_GB2312"/>
          <w:sz w:val="32"/>
          <w:szCs w:val="32"/>
        </w:rPr>
        <w:t>、</w:t>
      </w:r>
      <w:r>
        <w:rPr>
          <w:rFonts w:hint="eastAsia" w:ascii="仿宋_GB2312" w:hAnsi="仿宋_GB2312" w:eastAsia="仿宋_GB2312" w:cs="仿宋_GB2312"/>
          <w:b/>
          <w:bCs/>
          <w:color w:val="000000" w:themeColor="text1"/>
          <w:sz w:val="32"/>
          <w:szCs w:val="32"/>
          <w14:textFill>
            <w14:solidFill>
              <w14:schemeClr w14:val="tx1"/>
            </w14:solidFill>
          </w14:textFill>
        </w:rPr>
        <w:t>门诊</w:t>
      </w:r>
      <w:r>
        <w:rPr>
          <w:rFonts w:hint="eastAsia" w:ascii="仿宋_GB2312" w:hAnsi="Times New Roman" w:eastAsia="仿宋_GB2312" w:cs="仿宋_GB2312"/>
          <w:b/>
          <w:bCs/>
          <w:sz w:val="32"/>
          <w:szCs w:val="32"/>
        </w:rPr>
        <w:t>重症</w:t>
      </w:r>
      <w:r>
        <w:rPr>
          <w:rFonts w:ascii="仿宋_GB2312" w:hAnsi="Times New Roman" w:eastAsia="仿宋_GB2312" w:cs="仿宋_GB2312"/>
          <w:sz w:val="32"/>
          <w:szCs w:val="32"/>
        </w:rPr>
        <w:t>“两病”门诊用药保障不设起付线，设慢性病门诊最高支</w:t>
      </w:r>
      <w:r>
        <w:rPr>
          <w:rFonts w:hint="eastAsia" w:ascii="仿宋_GB2312" w:hAnsi="Times New Roman" w:eastAsia="仿宋_GB2312" w:cs="仿宋_GB2312"/>
          <w:sz w:val="32"/>
          <w:szCs w:val="32"/>
        </w:rPr>
        <w:t>付</w:t>
      </w:r>
      <w:r>
        <w:rPr>
          <w:rFonts w:ascii="仿宋_GB2312" w:hAnsi="Times New Roman" w:eastAsia="仿宋_GB2312" w:cs="仿宋_GB2312"/>
          <w:sz w:val="32"/>
          <w:szCs w:val="32"/>
        </w:rPr>
        <w:t>限额</w:t>
      </w:r>
      <w:r>
        <w:rPr>
          <w:rFonts w:hint="eastAsia" w:ascii="仿宋_GB2312" w:hAnsi="Times New Roman" w:eastAsia="仿宋_GB2312" w:cs="仿宋_GB2312"/>
          <w:sz w:val="32"/>
          <w:szCs w:val="32"/>
        </w:rPr>
        <w:t>分别</w:t>
      </w:r>
      <w:r>
        <w:rPr>
          <w:rFonts w:ascii="仿宋_GB2312" w:hAnsi="Times New Roman" w:eastAsia="仿宋_GB2312" w:cs="仿宋_GB2312"/>
          <w:sz w:val="32"/>
          <w:szCs w:val="32"/>
        </w:rPr>
        <w:t>为</w:t>
      </w:r>
      <w:r>
        <w:rPr>
          <w:rFonts w:ascii="仿宋_GB2312" w:hAnsi="Times New Roman" w:eastAsia="仿宋_GB2312" w:cs="仿宋_GB2312"/>
          <w:b/>
          <w:bCs/>
          <w:sz w:val="32"/>
          <w:szCs w:val="32"/>
        </w:rPr>
        <w:t>每年度</w:t>
      </w:r>
      <w:r>
        <w:rPr>
          <w:rFonts w:hint="eastAsia" w:ascii="仿宋_GB2312" w:hAnsi="Times New Roman" w:eastAsia="仿宋_GB2312" w:cs="仿宋_GB2312"/>
          <w:b/>
          <w:bCs/>
          <w:sz w:val="32"/>
          <w:szCs w:val="32"/>
        </w:rPr>
        <w:t>2000</w:t>
      </w:r>
      <w:r>
        <w:rPr>
          <w:rFonts w:ascii="仿宋_GB2312" w:hAnsi="Times New Roman" w:eastAsia="仿宋_GB2312" w:cs="仿宋_GB2312"/>
          <w:b/>
          <w:bCs/>
          <w:sz w:val="32"/>
          <w:szCs w:val="32"/>
        </w:rPr>
        <w:t>元</w:t>
      </w:r>
      <w:r>
        <w:rPr>
          <w:rFonts w:hint="eastAsia" w:ascii="仿宋_GB2312" w:hAnsi="Times New Roman" w:eastAsia="仿宋_GB2312" w:cs="仿宋_GB2312"/>
          <w:b/>
          <w:bCs/>
          <w:sz w:val="32"/>
          <w:szCs w:val="32"/>
        </w:rPr>
        <w:t>、2500元</w:t>
      </w:r>
      <w:r>
        <w:rPr>
          <w:rFonts w:ascii="仿宋_GB2312" w:hAnsi="Times New Roman" w:eastAsia="仿宋_GB2312" w:cs="仿宋_GB2312"/>
          <w:b/>
          <w:bCs/>
          <w:sz w:val="32"/>
          <w:szCs w:val="32"/>
        </w:rPr>
        <w:t>；</w:t>
      </w:r>
      <w:r>
        <w:rPr>
          <w:rFonts w:ascii="仿宋_GB2312" w:hAnsi="Times New Roman" w:eastAsia="仿宋_GB2312" w:cs="仿宋_GB2312"/>
          <w:sz w:val="32"/>
          <w:szCs w:val="32"/>
        </w:rPr>
        <w:t>慢性病门诊最高支</w:t>
      </w:r>
      <w:r>
        <w:rPr>
          <w:rFonts w:hint="eastAsia" w:ascii="仿宋_GB2312" w:hAnsi="Times New Roman" w:eastAsia="仿宋_GB2312" w:cs="仿宋_GB2312"/>
          <w:sz w:val="32"/>
          <w:szCs w:val="32"/>
        </w:rPr>
        <w:t>付</w:t>
      </w:r>
      <w:r>
        <w:rPr>
          <w:rFonts w:ascii="仿宋_GB2312" w:hAnsi="Times New Roman" w:eastAsia="仿宋_GB2312" w:cs="仿宋_GB2312"/>
          <w:sz w:val="32"/>
          <w:szCs w:val="32"/>
        </w:rPr>
        <w:t>限额以下的医疗费用</w:t>
      </w:r>
      <w:r>
        <w:rPr>
          <w:rFonts w:hint="eastAsia" w:ascii="仿宋_GB2312" w:hAnsi="Times New Roman" w:eastAsia="仿宋_GB2312" w:cs="仿宋_GB2312"/>
          <w:sz w:val="32"/>
          <w:szCs w:val="32"/>
        </w:rPr>
        <w:t>一级及以下</w:t>
      </w:r>
      <w:r>
        <w:rPr>
          <w:rFonts w:ascii="仿宋_GB2312" w:hAnsi="Times New Roman" w:eastAsia="仿宋_GB2312" w:cs="仿宋_GB2312"/>
          <w:sz w:val="32"/>
          <w:szCs w:val="32"/>
        </w:rPr>
        <w:t>、二级、</w:t>
      </w:r>
      <w:r>
        <w:rPr>
          <w:rFonts w:hint="eastAsia" w:ascii="仿宋_GB2312" w:hAnsi="Times New Roman" w:eastAsia="仿宋_GB2312" w:cs="仿宋_GB2312"/>
          <w:sz w:val="32"/>
          <w:szCs w:val="32"/>
        </w:rPr>
        <w:t>三</w:t>
      </w:r>
      <w:r>
        <w:rPr>
          <w:rFonts w:ascii="仿宋_GB2312" w:hAnsi="Times New Roman" w:eastAsia="仿宋_GB2312" w:cs="仿宋_GB2312"/>
          <w:sz w:val="32"/>
          <w:szCs w:val="32"/>
        </w:rPr>
        <w:t>级医疗机构报销比例</w:t>
      </w:r>
      <w:r>
        <w:rPr>
          <w:rFonts w:hint="eastAsia" w:ascii="仿宋_GB2312" w:hAnsi="Times New Roman" w:eastAsia="仿宋_GB2312" w:cs="仿宋_GB2312"/>
          <w:sz w:val="32"/>
          <w:szCs w:val="32"/>
        </w:rPr>
        <w:t>分别</w:t>
      </w:r>
      <w:r>
        <w:rPr>
          <w:rFonts w:ascii="仿宋_GB2312" w:hAnsi="Times New Roman" w:eastAsia="仿宋_GB2312" w:cs="仿宋_GB2312"/>
          <w:sz w:val="32"/>
          <w:szCs w:val="32"/>
        </w:rPr>
        <w:t>为</w:t>
      </w:r>
      <w:r>
        <w:rPr>
          <w:rFonts w:hint="eastAsia" w:ascii="仿宋_GB2312" w:hAnsi="Times New Roman" w:eastAsia="仿宋_GB2312" w:cs="仿宋_GB2312"/>
          <w:b/>
          <w:bCs/>
          <w:sz w:val="32"/>
          <w:szCs w:val="32"/>
        </w:rPr>
        <w:t>90</w:t>
      </w:r>
      <w:r>
        <w:rPr>
          <w:rFonts w:ascii="仿宋_GB2312" w:hAnsi="Times New Roman" w:eastAsia="仿宋_GB2312" w:cs="仿宋_GB2312"/>
          <w:b/>
          <w:bCs/>
          <w:sz w:val="32"/>
          <w:szCs w:val="32"/>
        </w:rPr>
        <w:t>%、</w:t>
      </w:r>
      <w:r>
        <w:rPr>
          <w:rFonts w:hint="eastAsia" w:ascii="仿宋_GB2312" w:hAnsi="Times New Roman" w:eastAsia="仿宋_GB2312" w:cs="仿宋_GB2312"/>
          <w:b/>
          <w:bCs/>
          <w:sz w:val="32"/>
          <w:szCs w:val="32"/>
        </w:rPr>
        <w:t>80</w:t>
      </w:r>
      <w:r>
        <w:rPr>
          <w:rFonts w:ascii="仿宋_GB2312" w:hAnsi="Times New Roman" w:eastAsia="仿宋_GB2312" w:cs="仿宋_GB2312"/>
          <w:b/>
          <w:bCs/>
          <w:sz w:val="32"/>
          <w:szCs w:val="32"/>
        </w:rPr>
        <w:t>%、</w:t>
      </w:r>
      <w:r>
        <w:rPr>
          <w:rFonts w:hint="eastAsia" w:ascii="仿宋_GB2312" w:hAnsi="Times New Roman" w:eastAsia="仿宋_GB2312" w:cs="仿宋_GB2312"/>
          <w:b/>
          <w:bCs/>
          <w:sz w:val="32"/>
          <w:szCs w:val="32"/>
        </w:rPr>
        <w:t>70</w:t>
      </w:r>
      <w:r>
        <w:rPr>
          <w:rFonts w:ascii="仿宋_GB2312" w:hAnsi="Times New Roman" w:eastAsia="仿宋_GB2312" w:cs="仿宋_GB2312"/>
          <w:b/>
          <w:bCs/>
          <w:sz w:val="32"/>
          <w:szCs w:val="32"/>
        </w:rPr>
        <w:t>%</w:t>
      </w:r>
      <w:r>
        <w:rPr>
          <w:rFonts w:hint="eastAsia" w:ascii="仿宋_GB2312" w:hAnsi="Times New Roman" w:eastAsia="仿宋_GB2312" w:cs="仿宋_GB2312"/>
          <w:sz w:val="32"/>
          <w:szCs w:val="32"/>
        </w:rPr>
        <w:t>（</w:t>
      </w:r>
      <w:r>
        <w:rPr>
          <w:rFonts w:hint="eastAsia" w:ascii="仿宋" w:hAnsi="仿宋" w:eastAsia="仿宋" w:cs="仿宋"/>
          <w:sz w:val="32"/>
          <w:szCs w:val="32"/>
        </w:rPr>
        <w:t>城镇职工参保人员</w:t>
      </w:r>
      <w:r>
        <w:rPr>
          <w:rFonts w:hint="eastAsia" w:ascii="仿宋_GB2312" w:hAnsi="Times New Roman" w:eastAsia="仿宋_GB2312" w:cs="仿宋_GB2312"/>
          <w:sz w:val="32"/>
          <w:szCs w:val="32"/>
        </w:rPr>
        <w:t>按照8</w:t>
      </w:r>
      <w:r>
        <w:rPr>
          <w:rFonts w:hint="eastAsia" w:ascii="仿宋" w:hAnsi="仿宋" w:eastAsia="仿宋" w:cs="仿宋"/>
          <w:sz w:val="32"/>
          <w:szCs w:val="32"/>
        </w:rPr>
        <w:t>0%、60%标准缴费的报销比例依次减少5%；单建统筹人员报销标准参照60%缴费的标准）。</w:t>
      </w:r>
    </w:p>
    <w:p>
      <w:pPr>
        <w:pStyle w:val="5"/>
        <w:widowControl/>
        <w:numPr>
          <w:ilvl w:val="0"/>
          <w:numId w:val="1"/>
        </w:numPr>
        <w:spacing w:beforeAutospacing="0" w:afterAutospacing="0" w:line="560" w:lineRule="exact"/>
        <w:ind w:firstLine="645"/>
        <w:jc w:val="both"/>
        <w:rPr>
          <w:rFonts w:ascii="仿宋_GB2312" w:hAnsi="Times New Roman" w:eastAsia="仿宋_GB2312" w:cs="仿宋_GB2312"/>
          <w:sz w:val="32"/>
          <w:szCs w:val="32"/>
        </w:rPr>
      </w:pPr>
      <w:r>
        <w:rPr>
          <w:rFonts w:hint="eastAsia" w:ascii="仿宋_GB2312" w:hAnsi="Times New Roman" w:eastAsia="仿宋_GB2312" w:cs="仿宋_GB2312"/>
          <w:sz w:val="32"/>
          <w:szCs w:val="32"/>
        </w:rPr>
        <w:t>城镇职工补充</w:t>
      </w:r>
      <w:r>
        <w:rPr>
          <w:rFonts w:ascii="仿宋_GB2312" w:hAnsi="Times New Roman" w:eastAsia="仿宋_GB2312" w:cs="仿宋_GB2312"/>
          <w:sz w:val="32"/>
          <w:szCs w:val="32"/>
        </w:rPr>
        <w:t>医保</w:t>
      </w:r>
      <w:r>
        <w:rPr>
          <w:rFonts w:hint="eastAsia" w:ascii="仿宋_GB2312" w:hAnsi="仿宋_GB2312" w:eastAsia="仿宋_GB2312" w:cs="仿宋_GB2312"/>
          <w:b/>
          <w:bCs/>
          <w:color w:val="000000" w:themeColor="text1"/>
          <w:sz w:val="32"/>
          <w:szCs w:val="32"/>
          <w14:textFill>
            <w14:solidFill>
              <w14:schemeClr w14:val="tx1"/>
            </w14:solidFill>
          </w14:textFill>
        </w:rPr>
        <w:t>门诊普通</w:t>
      </w:r>
      <w:r>
        <w:rPr>
          <w:rFonts w:ascii="仿宋_GB2312" w:hAnsi="Times New Roman" w:eastAsia="仿宋_GB2312" w:cs="仿宋_GB2312"/>
          <w:sz w:val="32"/>
          <w:szCs w:val="32"/>
        </w:rPr>
        <w:t>“两病”</w:t>
      </w:r>
      <w:r>
        <w:rPr>
          <w:rFonts w:hint="eastAsia" w:ascii="仿宋_GB2312" w:hAnsi="Times New Roman" w:eastAsia="仿宋_GB2312" w:cs="仿宋_GB2312"/>
          <w:sz w:val="32"/>
          <w:szCs w:val="32"/>
        </w:rPr>
        <w:t>、</w:t>
      </w:r>
      <w:r>
        <w:rPr>
          <w:rFonts w:hint="eastAsia" w:ascii="仿宋_GB2312" w:hAnsi="仿宋_GB2312" w:eastAsia="仿宋_GB2312" w:cs="仿宋_GB2312"/>
          <w:b/>
          <w:bCs/>
          <w:color w:val="000000" w:themeColor="text1"/>
          <w:sz w:val="32"/>
          <w:szCs w:val="32"/>
          <w14:textFill>
            <w14:solidFill>
              <w14:schemeClr w14:val="tx1"/>
            </w14:solidFill>
          </w14:textFill>
        </w:rPr>
        <w:t>门诊</w:t>
      </w:r>
      <w:r>
        <w:rPr>
          <w:rFonts w:hint="eastAsia" w:ascii="仿宋_GB2312" w:hAnsi="Times New Roman" w:eastAsia="仿宋_GB2312" w:cs="仿宋_GB2312"/>
          <w:b/>
          <w:bCs/>
          <w:sz w:val="32"/>
          <w:szCs w:val="32"/>
        </w:rPr>
        <w:t>重症</w:t>
      </w:r>
      <w:r>
        <w:rPr>
          <w:rFonts w:ascii="仿宋_GB2312" w:hAnsi="Times New Roman" w:eastAsia="仿宋_GB2312" w:cs="仿宋_GB2312"/>
          <w:sz w:val="32"/>
          <w:szCs w:val="32"/>
        </w:rPr>
        <w:t>“两病门诊用药保障不设起付线，设慢性病门诊最高支</w:t>
      </w:r>
      <w:r>
        <w:rPr>
          <w:rFonts w:hint="eastAsia" w:ascii="仿宋_GB2312" w:hAnsi="Times New Roman" w:eastAsia="仿宋_GB2312" w:cs="仿宋_GB2312"/>
          <w:sz w:val="32"/>
          <w:szCs w:val="32"/>
        </w:rPr>
        <w:t>付</w:t>
      </w:r>
      <w:r>
        <w:rPr>
          <w:rFonts w:ascii="仿宋_GB2312" w:hAnsi="Times New Roman" w:eastAsia="仿宋_GB2312" w:cs="仿宋_GB2312"/>
          <w:sz w:val="32"/>
          <w:szCs w:val="32"/>
        </w:rPr>
        <w:t>限额</w:t>
      </w:r>
      <w:r>
        <w:rPr>
          <w:rFonts w:hint="eastAsia" w:ascii="仿宋_GB2312" w:hAnsi="Times New Roman" w:eastAsia="仿宋_GB2312" w:cs="仿宋_GB2312"/>
          <w:sz w:val="32"/>
          <w:szCs w:val="32"/>
        </w:rPr>
        <w:t>分别</w:t>
      </w:r>
      <w:r>
        <w:rPr>
          <w:rFonts w:ascii="仿宋_GB2312" w:hAnsi="Times New Roman" w:eastAsia="仿宋_GB2312" w:cs="仿宋_GB2312"/>
          <w:b/>
          <w:bCs/>
          <w:sz w:val="32"/>
          <w:szCs w:val="32"/>
        </w:rPr>
        <w:t>为每年度</w:t>
      </w:r>
      <w:r>
        <w:rPr>
          <w:rFonts w:hint="eastAsia" w:ascii="仿宋_GB2312" w:hAnsi="Times New Roman" w:eastAsia="仿宋_GB2312" w:cs="仿宋_GB2312"/>
          <w:b/>
          <w:bCs/>
          <w:sz w:val="32"/>
          <w:szCs w:val="32"/>
        </w:rPr>
        <w:t>2500</w:t>
      </w:r>
      <w:r>
        <w:rPr>
          <w:rFonts w:ascii="仿宋_GB2312" w:hAnsi="Times New Roman" w:eastAsia="仿宋_GB2312" w:cs="仿宋_GB2312"/>
          <w:b/>
          <w:bCs/>
          <w:sz w:val="32"/>
          <w:szCs w:val="32"/>
        </w:rPr>
        <w:t>元</w:t>
      </w:r>
      <w:r>
        <w:rPr>
          <w:rFonts w:hint="eastAsia" w:ascii="仿宋_GB2312" w:hAnsi="Times New Roman" w:eastAsia="仿宋_GB2312" w:cs="仿宋_GB2312"/>
          <w:b/>
          <w:bCs/>
          <w:sz w:val="32"/>
          <w:szCs w:val="32"/>
        </w:rPr>
        <w:t>、3000元</w:t>
      </w:r>
      <w:r>
        <w:rPr>
          <w:rFonts w:ascii="仿宋_GB2312" w:hAnsi="Times New Roman" w:eastAsia="仿宋_GB2312" w:cs="仿宋_GB2312"/>
          <w:b/>
          <w:bCs/>
          <w:sz w:val="32"/>
          <w:szCs w:val="32"/>
        </w:rPr>
        <w:t>；</w:t>
      </w:r>
      <w:r>
        <w:rPr>
          <w:rFonts w:ascii="仿宋_GB2312" w:hAnsi="Times New Roman" w:eastAsia="仿宋_GB2312" w:cs="仿宋_GB2312"/>
          <w:sz w:val="32"/>
          <w:szCs w:val="32"/>
        </w:rPr>
        <w:t>慢性病门诊最高支限额以下的医疗费用</w:t>
      </w:r>
      <w:r>
        <w:rPr>
          <w:rFonts w:hint="eastAsia" w:ascii="仿宋_GB2312" w:hAnsi="Times New Roman" w:eastAsia="仿宋_GB2312" w:cs="仿宋_GB2312"/>
          <w:sz w:val="32"/>
          <w:szCs w:val="32"/>
        </w:rPr>
        <w:t>一级及以下</w:t>
      </w:r>
      <w:r>
        <w:rPr>
          <w:rFonts w:ascii="仿宋_GB2312" w:hAnsi="Times New Roman" w:eastAsia="仿宋_GB2312" w:cs="仿宋_GB2312"/>
          <w:sz w:val="32"/>
          <w:szCs w:val="32"/>
        </w:rPr>
        <w:t>、二级、</w:t>
      </w:r>
      <w:r>
        <w:rPr>
          <w:rFonts w:hint="eastAsia" w:ascii="仿宋_GB2312" w:hAnsi="Times New Roman" w:eastAsia="仿宋_GB2312" w:cs="仿宋_GB2312"/>
          <w:sz w:val="32"/>
          <w:szCs w:val="32"/>
        </w:rPr>
        <w:t>三</w:t>
      </w:r>
      <w:r>
        <w:rPr>
          <w:rFonts w:ascii="仿宋_GB2312" w:hAnsi="Times New Roman" w:eastAsia="仿宋_GB2312" w:cs="仿宋_GB2312"/>
          <w:sz w:val="32"/>
          <w:szCs w:val="32"/>
        </w:rPr>
        <w:t>级医疗机构报销比例</w:t>
      </w:r>
      <w:r>
        <w:rPr>
          <w:rFonts w:hint="eastAsia" w:ascii="仿宋_GB2312" w:hAnsi="Times New Roman" w:eastAsia="仿宋_GB2312" w:cs="仿宋_GB2312"/>
          <w:sz w:val="32"/>
          <w:szCs w:val="32"/>
        </w:rPr>
        <w:t>分别</w:t>
      </w:r>
      <w:r>
        <w:rPr>
          <w:rFonts w:ascii="仿宋_GB2312" w:hAnsi="Times New Roman" w:eastAsia="仿宋_GB2312" w:cs="仿宋_GB2312"/>
          <w:sz w:val="32"/>
          <w:szCs w:val="32"/>
        </w:rPr>
        <w:t>为</w:t>
      </w:r>
      <w:r>
        <w:rPr>
          <w:rFonts w:hint="eastAsia" w:ascii="仿宋_GB2312" w:hAnsi="Times New Roman" w:eastAsia="仿宋_GB2312" w:cs="仿宋_GB2312"/>
          <w:b/>
          <w:bCs/>
          <w:sz w:val="32"/>
          <w:szCs w:val="32"/>
        </w:rPr>
        <w:t>95</w:t>
      </w:r>
      <w:r>
        <w:rPr>
          <w:rFonts w:ascii="仿宋_GB2312" w:hAnsi="Times New Roman" w:eastAsia="仿宋_GB2312" w:cs="仿宋_GB2312"/>
          <w:b/>
          <w:bCs/>
          <w:sz w:val="32"/>
          <w:szCs w:val="32"/>
        </w:rPr>
        <w:t>%、</w:t>
      </w:r>
      <w:r>
        <w:rPr>
          <w:rFonts w:hint="eastAsia" w:ascii="仿宋_GB2312" w:hAnsi="Times New Roman" w:eastAsia="仿宋_GB2312" w:cs="仿宋_GB2312"/>
          <w:b/>
          <w:bCs/>
          <w:sz w:val="32"/>
          <w:szCs w:val="32"/>
        </w:rPr>
        <w:t>85</w:t>
      </w:r>
      <w:r>
        <w:rPr>
          <w:rFonts w:ascii="仿宋_GB2312" w:hAnsi="Times New Roman" w:eastAsia="仿宋_GB2312" w:cs="仿宋_GB2312"/>
          <w:b/>
          <w:bCs/>
          <w:sz w:val="32"/>
          <w:szCs w:val="32"/>
        </w:rPr>
        <w:t>%、</w:t>
      </w:r>
      <w:r>
        <w:rPr>
          <w:rFonts w:hint="eastAsia" w:ascii="仿宋_GB2312" w:hAnsi="Times New Roman" w:eastAsia="仿宋_GB2312" w:cs="仿宋_GB2312"/>
          <w:b/>
          <w:bCs/>
          <w:sz w:val="32"/>
          <w:szCs w:val="32"/>
        </w:rPr>
        <w:t>75</w:t>
      </w:r>
      <w:r>
        <w:rPr>
          <w:rFonts w:ascii="仿宋_GB2312" w:hAnsi="Times New Roman" w:eastAsia="仿宋_GB2312" w:cs="仿宋_GB2312"/>
          <w:b/>
          <w:bCs/>
          <w:sz w:val="32"/>
          <w:szCs w:val="32"/>
        </w:rPr>
        <w:t>%</w:t>
      </w:r>
      <w:r>
        <w:rPr>
          <w:rFonts w:hint="eastAsia" w:ascii="仿宋_GB2312" w:hAnsi="Times New Roman" w:eastAsia="仿宋_GB2312" w:cs="仿宋_GB2312"/>
          <w:sz w:val="32"/>
          <w:szCs w:val="32"/>
        </w:rPr>
        <w:t>。</w:t>
      </w:r>
    </w:p>
    <w:p>
      <w:pPr>
        <w:pStyle w:val="5"/>
        <w:widowControl/>
        <w:numPr>
          <w:ilvl w:val="0"/>
          <w:numId w:val="1"/>
        </w:numPr>
        <w:spacing w:beforeAutospacing="0" w:afterAutospacing="0" w:line="560" w:lineRule="exact"/>
        <w:ind w:firstLine="645"/>
        <w:jc w:val="both"/>
        <w:rPr>
          <w:rFonts w:ascii="仿宋_GB2312" w:hAnsi="Times New Roman" w:eastAsia="仿宋_GB2312" w:cs="仿宋_GB2312"/>
          <w:b/>
          <w:bCs/>
          <w:sz w:val="32"/>
          <w:szCs w:val="32"/>
        </w:rPr>
      </w:pPr>
      <w:r>
        <w:rPr>
          <w:rFonts w:ascii="仿宋_GB2312" w:hAnsi="Times New Roman" w:eastAsia="仿宋_GB2312" w:cs="仿宋_GB2312"/>
          <w:sz w:val="32"/>
          <w:szCs w:val="32"/>
        </w:rPr>
        <w:t>城乡居民医保</w:t>
      </w:r>
      <w:r>
        <w:rPr>
          <w:rFonts w:hint="eastAsia" w:ascii="仿宋_GB2312" w:hAnsi="Times New Roman" w:eastAsia="仿宋_GB2312" w:cs="仿宋_GB2312"/>
          <w:sz w:val="32"/>
          <w:szCs w:val="32"/>
        </w:rPr>
        <w:t>、城镇职工</w:t>
      </w:r>
      <w:r>
        <w:rPr>
          <w:rFonts w:ascii="仿宋_GB2312" w:hAnsi="Times New Roman" w:eastAsia="仿宋_GB2312" w:cs="仿宋_GB2312"/>
          <w:sz w:val="32"/>
          <w:szCs w:val="32"/>
        </w:rPr>
        <w:t>医保</w:t>
      </w:r>
      <w:r>
        <w:rPr>
          <w:rFonts w:hint="eastAsia" w:ascii="仿宋_GB2312" w:hAnsi="Times New Roman" w:eastAsia="仿宋_GB2312" w:cs="仿宋_GB2312"/>
          <w:sz w:val="32"/>
          <w:szCs w:val="32"/>
        </w:rPr>
        <w:t>、城镇职工补充</w:t>
      </w:r>
      <w:r>
        <w:rPr>
          <w:rFonts w:ascii="仿宋_GB2312" w:hAnsi="Times New Roman" w:eastAsia="仿宋_GB2312" w:cs="仿宋_GB2312"/>
          <w:sz w:val="32"/>
          <w:szCs w:val="32"/>
        </w:rPr>
        <w:t>医保</w:t>
      </w:r>
      <w:r>
        <w:rPr>
          <w:rFonts w:hint="eastAsia" w:ascii="仿宋_GB2312" w:hAnsi="Times New Roman" w:eastAsia="仿宋_GB2312" w:cs="仿宋_GB2312"/>
          <w:sz w:val="32"/>
          <w:szCs w:val="32"/>
        </w:rPr>
        <w:t>参保人员如同时患有两种</w:t>
      </w:r>
      <w:r>
        <w:rPr>
          <w:rFonts w:hint="eastAsia" w:ascii="仿宋_GB2312" w:hAnsi="仿宋_GB2312" w:eastAsia="仿宋_GB2312" w:cs="仿宋_GB2312"/>
          <w:b/>
          <w:bCs/>
          <w:color w:val="000000" w:themeColor="text1"/>
          <w:sz w:val="32"/>
          <w:szCs w:val="32"/>
          <w14:textFill>
            <w14:solidFill>
              <w14:schemeClr w14:val="tx1"/>
            </w14:solidFill>
          </w14:textFill>
        </w:rPr>
        <w:t>门诊普通</w:t>
      </w:r>
      <w:r>
        <w:rPr>
          <w:rFonts w:ascii="仿宋_GB2312" w:hAnsi="Times New Roman" w:eastAsia="仿宋_GB2312" w:cs="仿宋_GB2312"/>
          <w:sz w:val="32"/>
          <w:szCs w:val="32"/>
        </w:rPr>
        <w:t>“两病”</w:t>
      </w:r>
      <w:r>
        <w:rPr>
          <w:rFonts w:hint="eastAsia" w:ascii="仿宋_GB2312" w:hAnsi="Times New Roman" w:eastAsia="仿宋_GB2312" w:cs="仿宋_GB2312"/>
          <w:sz w:val="32"/>
          <w:szCs w:val="32"/>
        </w:rPr>
        <w:t>或</w:t>
      </w:r>
      <w:r>
        <w:rPr>
          <w:rFonts w:hint="eastAsia" w:ascii="仿宋_GB2312" w:hAnsi="仿宋_GB2312" w:eastAsia="仿宋_GB2312" w:cs="仿宋_GB2312"/>
          <w:b/>
          <w:bCs/>
          <w:color w:val="000000" w:themeColor="text1"/>
          <w:sz w:val="32"/>
          <w:szCs w:val="32"/>
          <w14:textFill>
            <w14:solidFill>
              <w14:schemeClr w14:val="tx1"/>
            </w14:solidFill>
          </w14:textFill>
        </w:rPr>
        <w:t>门诊</w:t>
      </w:r>
      <w:r>
        <w:rPr>
          <w:rFonts w:hint="eastAsia" w:ascii="仿宋_GB2312" w:hAnsi="Times New Roman" w:eastAsia="仿宋_GB2312" w:cs="仿宋_GB2312"/>
          <w:b/>
          <w:bCs/>
          <w:sz w:val="32"/>
          <w:szCs w:val="32"/>
        </w:rPr>
        <w:t>重症</w:t>
      </w:r>
      <w:r>
        <w:rPr>
          <w:rFonts w:ascii="仿宋_GB2312" w:hAnsi="Times New Roman" w:eastAsia="仿宋_GB2312" w:cs="仿宋_GB2312"/>
          <w:sz w:val="32"/>
          <w:szCs w:val="32"/>
        </w:rPr>
        <w:t>“两病”</w:t>
      </w:r>
      <w:r>
        <w:rPr>
          <w:rFonts w:hint="eastAsia" w:ascii="仿宋_GB2312" w:hAnsi="Times New Roman" w:eastAsia="仿宋_GB2312" w:cs="仿宋_GB2312"/>
          <w:sz w:val="32"/>
          <w:szCs w:val="32"/>
        </w:rPr>
        <w:t>，都可享受报销待遇，</w:t>
      </w:r>
      <w:r>
        <w:rPr>
          <w:rFonts w:hint="eastAsia" w:ascii="仿宋" w:hAnsi="仿宋" w:eastAsia="仿宋" w:cs="仿宋"/>
          <w:sz w:val="32"/>
          <w:szCs w:val="32"/>
        </w:rPr>
        <w:t>参保人员可自主确定</w:t>
      </w:r>
      <w:r>
        <w:rPr>
          <w:rFonts w:hint="eastAsia" w:ascii="仿宋" w:hAnsi="仿宋" w:eastAsia="仿宋" w:cs="仿宋"/>
          <w:b/>
          <w:bCs/>
          <w:sz w:val="32"/>
          <w:szCs w:val="32"/>
        </w:rPr>
        <w:t>1种</w:t>
      </w:r>
      <w:r>
        <w:rPr>
          <w:rFonts w:hint="eastAsia" w:ascii="仿宋" w:hAnsi="仿宋" w:eastAsia="仿宋" w:cs="仿宋"/>
          <w:sz w:val="32"/>
          <w:szCs w:val="32"/>
        </w:rPr>
        <w:t>主要</w:t>
      </w:r>
      <w:r>
        <w:rPr>
          <w:rFonts w:hint="eastAsia" w:ascii="仿宋_GB2312" w:hAnsi="仿宋_GB2312" w:eastAsia="仿宋_GB2312" w:cs="仿宋_GB2312"/>
          <w:color w:val="000000" w:themeColor="text1"/>
          <w:sz w:val="32"/>
          <w:szCs w:val="32"/>
          <w14:textFill>
            <w14:solidFill>
              <w14:schemeClr w14:val="tx1"/>
            </w14:solidFill>
          </w14:textFill>
        </w:rPr>
        <w:t>门诊</w:t>
      </w:r>
      <w:r>
        <w:rPr>
          <w:rFonts w:hint="eastAsia" w:ascii="仿宋" w:hAnsi="仿宋" w:eastAsia="仿宋" w:cs="仿宋"/>
          <w:sz w:val="32"/>
          <w:szCs w:val="32"/>
        </w:rPr>
        <w:t>慢性病病种</w:t>
      </w:r>
      <w:r>
        <w:rPr>
          <w:rFonts w:hint="eastAsia" w:ascii="仿宋" w:hAnsi="仿宋" w:eastAsia="仿宋" w:cs="仿宋"/>
          <w:b/>
          <w:bCs/>
          <w:sz w:val="32"/>
          <w:szCs w:val="32"/>
        </w:rPr>
        <w:t>（普通或重症均可）</w:t>
      </w:r>
      <w:r>
        <w:rPr>
          <w:rFonts w:hint="eastAsia" w:ascii="仿宋" w:hAnsi="仿宋" w:eastAsia="仿宋" w:cs="仿宋"/>
          <w:sz w:val="32"/>
          <w:szCs w:val="32"/>
        </w:rPr>
        <w:t>，按照上述标准享受相应待遇；另外</w:t>
      </w:r>
      <w:r>
        <w:rPr>
          <w:rFonts w:hint="eastAsia" w:ascii="仿宋" w:hAnsi="仿宋" w:eastAsia="仿宋" w:cs="仿宋"/>
          <w:b/>
          <w:bCs/>
          <w:sz w:val="32"/>
          <w:szCs w:val="32"/>
        </w:rPr>
        <w:t>1种</w:t>
      </w:r>
      <w:r>
        <w:rPr>
          <w:rFonts w:hint="eastAsia" w:ascii="仿宋" w:hAnsi="仿宋" w:eastAsia="仿宋" w:cs="仿宋"/>
          <w:sz w:val="32"/>
          <w:szCs w:val="32"/>
        </w:rPr>
        <w:t>次要</w:t>
      </w:r>
      <w:r>
        <w:rPr>
          <w:rFonts w:hint="eastAsia" w:ascii="仿宋_GB2312" w:hAnsi="仿宋_GB2312" w:eastAsia="仿宋_GB2312" w:cs="仿宋_GB2312"/>
          <w:color w:val="000000" w:themeColor="text1"/>
          <w:sz w:val="32"/>
          <w:szCs w:val="32"/>
          <w14:textFill>
            <w14:solidFill>
              <w14:schemeClr w14:val="tx1"/>
            </w14:solidFill>
          </w14:textFill>
        </w:rPr>
        <w:t>门诊</w:t>
      </w:r>
      <w:r>
        <w:rPr>
          <w:rFonts w:hint="eastAsia" w:ascii="仿宋" w:hAnsi="仿宋" w:eastAsia="仿宋" w:cs="仿宋"/>
          <w:sz w:val="32"/>
          <w:szCs w:val="32"/>
        </w:rPr>
        <w:t>慢性病病种</w:t>
      </w:r>
      <w:r>
        <w:rPr>
          <w:rFonts w:hint="eastAsia" w:ascii="仿宋" w:hAnsi="仿宋" w:eastAsia="仿宋" w:cs="仿宋"/>
          <w:b/>
          <w:bCs/>
          <w:sz w:val="32"/>
          <w:szCs w:val="32"/>
        </w:rPr>
        <w:t>（普通或重症均可）</w:t>
      </w:r>
      <w:r>
        <w:rPr>
          <w:rFonts w:hint="eastAsia" w:ascii="仿宋" w:hAnsi="仿宋" w:eastAsia="仿宋" w:cs="仿宋"/>
          <w:sz w:val="32"/>
          <w:szCs w:val="32"/>
        </w:rPr>
        <w:t>的待遇标准为规定报销比例的</w:t>
      </w:r>
      <w:r>
        <w:rPr>
          <w:rFonts w:hint="eastAsia" w:ascii="仿宋" w:hAnsi="仿宋" w:eastAsia="仿宋" w:cs="仿宋"/>
          <w:b/>
          <w:bCs/>
          <w:sz w:val="32"/>
          <w:szCs w:val="32"/>
        </w:rPr>
        <w:t>50%</w:t>
      </w:r>
      <w:r>
        <w:rPr>
          <w:rFonts w:hint="eastAsia" w:ascii="仿宋_GB2312" w:hAnsi="Times New Roman" w:eastAsia="仿宋_GB2312" w:cs="仿宋_GB2312"/>
          <w:b/>
          <w:bCs/>
          <w:sz w:val="32"/>
          <w:szCs w:val="32"/>
        </w:rPr>
        <w:t>。</w:t>
      </w:r>
    </w:p>
    <w:p>
      <w:pPr>
        <w:pStyle w:val="5"/>
        <w:widowControl/>
        <w:spacing w:beforeAutospacing="0" w:afterAutospacing="0" w:line="560" w:lineRule="exact"/>
        <w:ind w:firstLine="643" w:firstLineChars="200"/>
        <w:jc w:val="both"/>
        <w:rPr>
          <w:rFonts w:ascii="Times New Roman" w:hAnsi="Times New Roman"/>
          <w:sz w:val="32"/>
          <w:szCs w:val="32"/>
        </w:rPr>
      </w:pPr>
      <w:r>
        <w:rPr>
          <w:rFonts w:hint="eastAsia" w:ascii="仿宋_GB2312" w:hAnsi="Times New Roman" w:eastAsia="仿宋_GB2312" w:cs="仿宋_GB2312"/>
          <w:b/>
          <w:bCs/>
          <w:sz w:val="32"/>
          <w:szCs w:val="32"/>
        </w:rPr>
        <w:t>（5）</w:t>
      </w:r>
      <w:r>
        <w:rPr>
          <w:rFonts w:hint="eastAsia" w:ascii="仿宋_GB2312" w:hAnsi="Times New Roman" w:eastAsia="仿宋_GB2312" w:cs="仿宋_GB2312"/>
          <w:sz w:val="32"/>
          <w:szCs w:val="32"/>
        </w:rPr>
        <w:t>定点零售药店</w:t>
      </w:r>
      <w:r>
        <w:rPr>
          <w:rFonts w:ascii="仿宋_GB2312" w:hAnsi="Times New Roman" w:eastAsia="仿宋_GB2312" w:cs="仿宋_GB2312"/>
          <w:sz w:val="32"/>
          <w:szCs w:val="32"/>
        </w:rPr>
        <w:t>报销比例</w:t>
      </w:r>
      <w:r>
        <w:rPr>
          <w:rFonts w:hint="eastAsia" w:ascii="仿宋_GB2312" w:hAnsi="Times New Roman" w:eastAsia="仿宋_GB2312" w:cs="仿宋_GB2312"/>
          <w:sz w:val="32"/>
          <w:szCs w:val="32"/>
        </w:rPr>
        <w:t>按参保人员所持外配处方的定点医疗机构报销比例执行；</w:t>
      </w:r>
      <w:r>
        <w:rPr>
          <w:rFonts w:ascii="仿宋_GB2312" w:hAnsi="Times New Roman" w:eastAsia="仿宋_GB2312" w:cs="仿宋_GB2312"/>
          <w:sz w:val="32"/>
          <w:szCs w:val="32"/>
        </w:rPr>
        <w:t>慢性病门诊最高支付限额以上的医疗费用个人自负。</w:t>
      </w:r>
    </w:p>
    <w:p>
      <w:pPr>
        <w:pStyle w:val="5"/>
        <w:widowControl/>
        <w:spacing w:beforeAutospacing="0" w:afterAutospacing="0" w:line="560" w:lineRule="exact"/>
        <w:ind w:firstLine="645"/>
        <w:jc w:val="both"/>
        <w:rPr>
          <w:rFonts w:ascii="Times New Roman" w:hAnsi="Times New Roman"/>
          <w:sz w:val="32"/>
          <w:szCs w:val="32"/>
        </w:rPr>
      </w:pPr>
      <w:r>
        <w:rPr>
          <w:rFonts w:hint="eastAsia" w:ascii="仿宋_GB2312" w:hAnsi="Times New Roman" w:eastAsia="仿宋_GB2312" w:cs="仿宋_GB2312"/>
          <w:b/>
          <w:bCs/>
          <w:sz w:val="32"/>
          <w:szCs w:val="32"/>
        </w:rPr>
        <w:t>5</w:t>
      </w:r>
      <w:r>
        <w:rPr>
          <w:rFonts w:ascii="仿宋_GB2312" w:hAnsi="Times New Roman" w:eastAsia="仿宋_GB2312" w:cs="仿宋_GB2312"/>
          <w:b/>
          <w:bCs/>
          <w:sz w:val="32"/>
          <w:szCs w:val="32"/>
        </w:rPr>
        <w:t>.医保待遇衔接。</w:t>
      </w:r>
      <w:r>
        <w:rPr>
          <w:rFonts w:ascii="仿宋_GB2312" w:hAnsi="Times New Roman" w:eastAsia="仿宋_GB2312" w:cs="仿宋_GB2312"/>
          <w:sz w:val="32"/>
          <w:szCs w:val="32"/>
        </w:rPr>
        <w:t>“两病”门诊用药</w:t>
      </w:r>
      <w:r>
        <w:rPr>
          <w:rFonts w:hint="eastAsia" w:ascii="仿宋_GB2312" w:hAnsi="Times New Roman" w:eastAsia="仿宋_GB2312" w:cs="仿宋_GB2312"/>
          <w:sz w:val="32"/>
          <w:szCs w:val="32"/>
        </w:rPr>
        <w:t>处方量最长不超过</w:t>
      </w:r>
      <w:r>
        <w:rPr>
          <w:rFonts w:hint="eastAsia" w:ascii="仿宋_GB2312" w:hAnsi="Times New Roman" w:eastAsia="仿宋_GB2312" w:cs="仿宋_GB2312"/>
          <w:b/>
          <w:bCs/>
          <w:sz w:val="32"/>
          <w:szCs w:val="32"/>
        </w:rPr>
        <w:t>24周；</w:t>
      </w:r>
      <w:r>
        <w:rPr>
          <w:rFonts w:ascii="仿宋_GB2312" w:hAnsi="Times New Roman" w:eastAsia="仿宋_GB2312" w:cs="仿宋_GB2312"/>
          <w:sz w:val="32"/>
          <w:szCs w:val="32"/>
        </w:rPr>
        <w:t>不属于“两病”门诊用药保障待遇范围的门诊（配药）费用按普通门诊待遇执行；属于规定病待遇范围的，按规定病待遇执行；“两病”门诊用药保障待遇范围费用报销后的</w:t>
      </w:r>
      <w:r>
        <w:rPr>
          <w:rFonts w:hint="eastAsia" w:ascii="仿宋_GB2312" w:hAnsi="Times New Roman" w:eastAsia="仿宋_GB2312" w:cs="仿宋_GB2312"/>
          <w:sz w:val="32"/>
          <w:szCs w:val="32"/>
        </w:rPr>
        <w:t>个人</w:t>
      </w:r>
      <w:r>
        <w:rPr>
          <w:rFonts w:ascii="仿宋_GB2312" w:hAnsi="Times New Roman" w:eastAsia="仿宋_GB2312" w:cs="仿宋_GB2312"/>
          <w:sz w:val="32"/>
          <w:szCs w:val="32"/>
        </w:rPr>
        <w:t>自负</w:t>
      </w:r>
      <w:r>
        <w:rPr>
          <w:rFonts w:hint="eastAsia" w:ascii="仿宋_GB2312" w:hAnsi="Times New Roman" w:eastAsia="仿宋_GB2312" w:cs="仿宋_GB2312"/>
          <w:sz w:val="32"/>
          <w:szCs w:val="32"/>
        </w:rPr>
        <w:t>费用</w:t>
      </w:r>
      <w:r>
        <w:rPr>
          <w:rFonts w:ascii="仿宋_GB2312" w:hAnsi="Times New Roman" w:eastAsia="仿宋_GB2312" w:cs="仿宋_GB2312"/>
          <w:sz w:val="32"/>
          <w:szCs w:val="32"/>
        </w:rPr>
        <w:t>部分和超过最高支付限额以上部分列入大病保险待遇保障范围。</w:t>
      </w:r>
    </w:p>
    <w:p>
      <w:pPr>
        <w:pStyle w:val="5"/>
        <w:widowControl/>
        <w:spacing w:beforeAutospacing="0" w:afterAutospacing="0" w:line="560" w:lineRule="exact"/>
        <w:ind w:firstLine="645"/>
        <w:jc w:val="both"/>
        <w:rPr>
          <w:rFonts w:ascii="Times New Roman" w:hAnsi="Times New Roman"/>
          <w:b/>
          <w:bCs/>
          <w:sz w:val="32"/>
          <w:szCs w:val="32"/>
        </w:rPr>
      </w:pPr>
      <w:r>
        <w:rPr>
          <w:rFonts w:ascii="楷体_GB2312" w:hAnsi="Times New Roman" w:eastAsia="楷体_GB2312" w:cs="楷体_GB2312"/>
          <w:b/>
          <w:bCs/>
          <w:sz w:val="32"/>
          <w:szCs w:val="32"/>
        </w:rPr>
        <w:t>（</w:t>
      </w:r>
      <w:r>
        <w:rPr>
          <w:rFonts w:hint="eastAsia" w:ascii="楷体_GB2312" w:hAnsi="Times New Roman" w:eastAsia="楷体_GB2312" w:cs="楷体_GB2312"/>
          <w:b/>
          <w:bCs/>
          <w:sz w:val="32"/>
          <w:szCs w:val="32"/>
        </w:rPr>
        <w:t>二</w:t>
      </w:r>
      <w:r>
        <w:rPr>
          <w:rFonts w:ascii="楷体_GB2312" w:hAnsi="Times New Roman" w:eastAsia="楷体_GB2312" w:cs="楷体_GB2312"/>
          <w:b/>
          <w:bCs/>
          <w:sz w:val="32"/>
          <w:szCs w:val="32"/>
        </w:rPr>
        <w:t>）深化服务内涵，提升“两病”健康管理水平</w:t>
      </w:r>
    </w:p>
    <w:p>
      <w:pPr>
        <w:pStyle w:val="5"/>
        <w:widowControl/>
        <w:spacing w:beforeAutospacing="0" w:afterAutospacing="0" w:line="560" w:lineRule="exact"/>
        <w:ind w:firstLine="645"/>
        <w:jc w:val="both"/>
        <w:rPr>
          <w:rFonts w:ascii="Times New Roman" w:hAnsi="Times New Roman"/>
          <w:sz w:val="32"/>
          <w:szCs w:val="32"/>
        </w:rPr>
      </w:pPr>
      <w:r>
        <w:rPr>
          <w:rFonts w:hint="eastAsia" w:ascii="仿宋_GB2312" w:hAnsi="Times New Roman" w:eastAsia="仿宋_GB2312" w:cs="仿宋_GB2312"/>
          <w:b/>
          <w:bCs/>
          <w:sz w:val="32"/>
          <w:szCs w:val="32"/>
        </w:rPr>
        <w:t>6</w:t>
      </w:r>
      <w:r>
        <w:rPr>
          <w:rFonts w:ascii="仿宋_GB2312" w:hAnsi="Times New Roman" w:eastAsia="仿宋_GB2312" w:cs="仿宋_GB2312"/>
          <w:b/>
          <w:bCs/>
          <w:sz w:val="32"/>
          <w:szCs w:val="32"/>
        </w:rPr>
        <w:t>.进一步完善家庭医生签约服务制度。</w:t>
      </w:r>
      <w:r>
        <w:rPr>
          <w:rFonts w:ascii="仿宋_GB2312" w:hAnsi="Times New Roman" w:eastAsia="仿宋_GB2312" w:cs="仿宋_GB2312"/>
          <w:sz w:val="32"/>
          <w:szCs w:val="32"/>
        </w:rPr>
        <w:t>坚持质量优先，进一步巩固并稳步扩大“两病”患者签约服务覆盖面，高血压、糖尿病患者</w:t>
      </w:r>
      <w:r>
        <w:rPr>
          <w:rFonts w:ascii="仿宋_GB2312" w:hAnsi="Times New Roman" w:eastAsia="仿宋_GB2312" w:cs="仿宋_GB2312"/>
          <w:b/>
          <w:bCs/>
          <w:sz w:val="32"/>
          <w:szCs w:val="32"/>
        </w:rPr>
        <w:t>签约</w:t>
      </w:r>
      <w:r>
        <w:rPr>
          <w:rFonts w:hint="eastAsia" w:ascii="仿宋_GB2312" w:hAnsi="Times New Roman" w:eastAsia="仿宋_GB2312" w:cs="仿宋_GB2312"/>
          <w:b/>
          <w:bCs/>
          <w:sz w:val="32"/>
          <w:szCs w:val="32"/>
        </w:rPr>
        <w:t>备案</w:t>
      </w:r>
      <w:r>
        <w:rPr>
          <w:rFonts w:ascii="仿宋_GB2312" w:hAnsi="Times New Roman" w:eastAsia="仿宋_GB2312" w:cs="仿宋_GB2312"/>
          <w:b/>
          <w:bCs/>
          <w:sz w:val="32"/>
          <w:szCs w:val="32"/>
        </w:rPr>
        <w:t>率</w:t>
      </w:r>
      <w:r>
        <w:rPr>
          <w:rFonts w:hint="eastAsia" w:ascii="仿宋_GB2312" w:hAnsi="Times New Roman" w:eastAsia="仿宋_GB2312" w:cs="仿宋_GB2312"/>
          <w:b/>
          <w:bCs/>
          <w:sz w:val="32"/>
          <w:szCs w:val="32"/>
        </w:rPr>
        <w:t>应</w:t>
      </w:r>
      <w:r>
        <w:rPr>
          <w:rFonts w:ascii="仿宋_GB2312" w:hAnsi="Times New Roman" w:eastAsia="仿宋_GB2312" w:cs="仿宋_GB2312"/>
          <w:b/>
          <w:bCs/>
          <w:sz w:val="32"/>
          <w:szCs w:val="32"/>
        </w:rPr>
        <w:t>达</w:t>
      </w:r>
      <w:r>
        <w:rPr>
          <w:rFonts w:hint="eastAsia" w:ascii="仿宋_GB2312" w:hAnsi="Times New Roman" w:eastAsia="仿宋_GB2312" w:cs="仿宋_GB2312"/>
          <w:b/>
          <w:bCs/>
          <w:sz w:val="32"/>
          <w:szCs w:val="32"/>
        </w:rPr>
        <w:t>10</w:t>
      </w:r>
      <w:r>
        <w:rPr>
          <w:rFonts w:ascii="仿宋_GB2312" w:hAnsi="Times New Roman" w:eastAsia="仿宋_GB2312" w:cs="仿宋_GB2312"/>
          <w:b/>
          <w:bCs/>
          <w:sz w:val="32"/>
          <w:szCs w:val="32"/>
        </w:rPr>
        <w:t>0%</w:t>
      </w:r>
      <w:r>
        <w:rPr>
          <w:rFonts w:ascii="仿宋_GB2312" w:hAnsi="Times New Roman" w:eastAsia="仿宋_GB2312" w:cs="仿宋_GB2312"/>
          <w:sz w:val="32"/>
          <w:szCs w:val="32"/>
        </w:rPr>
        <w:t>。深化签约服务内涵，有序推进“互联网+”家庭医生签约服务，为“两病”患者提供在线健康咨询、健康教育、慢性病复诊、长处方药品配送和随访等线上服务。积极稳妥推进“两病”医防融合改革，融合国家基本公共卫生服务规范和国家基层高血压、糖尿病防治管理指南要求，落实“两病”患者全周期健康管理。</w:t>
      </w:r>
    </w:p>
    <w:p>
      <w:pPr>
        <w:pStyle w:val="5"/>
        <w:widowControl/>
        <w:spacing w:beforeAutospacing="0" w:afterAutospacing="0" w:line="560" w:lineRule="exact"/>
        <w:ind w:firstLine="645"/>
        <w:jc w:val="both"/>
        <w:rPr>
          <w:rFonts w:ascii="Times New Roman" w:hAnsi="Times New Roman"/>
          <w:sz w:val="32"/>
          <w:szCs w:val="32"/>
        </w:rPr>
      </w:pPr>
      <w:r>
        <w:rPr>
          <w:rFonts w:hint="eastAsia" w:ascii="仿宋_GB2312" w:hAnsi="Times New Roman" w:eastAsia="仿宋_GB2312" w:cs="仿宋_GB2312"/>
          <w:b/>
          <w:bCs/>
          <w:sz w:val="32"/>
          <w:szCs w:val="32"/>
        </w:rPr>
        <w:t>7</w:t>
      </w:r>
      <w:r>
        <w:rPr>
          <w:rFonts w:ascii="仿宋_GB2312" w:hAnsi="Times New Roman" w:eastAsia="仿宋_GB2312" w:cs="仿宋_GB2312"/>
          <w:b/>
          <w:bCs/>
          <w:sz w:val="32"/>
          <w:szCs w:val="32"/>
        </w:rPr>
        <w:t>.进一步强化“两病”绩效评价管理。</w:t>
      </w:r>
      <w:r>
        <w:rPr>
          <w:rFonts w:ascii="仿宋_GB2312" w:hAnsi="Times New Roman" w:eastAsia="仿宋_GB2312" w:cs="仿宋_GB2312"/>
          <w:sz w:val="32"/>
          <w:szCs w:val="32"/>
        </w:rPr>
        <w:t>建立以结果为导向，以持续提升服务能力和改进服务质量为目标的“两病”绩效考核评价体系。进一步强化“网格化管理、组团式服务”工作，提升“两病”精细化管理水平，高血压和糖尿病患者</w:t>
      </w:r>
      <w:r>
        <w:rPr>
          <w:rFonts w:ascii="仿宋_GB2312" w:hAnsi="Times New Roman" w:eastAsia="仿宋_GB2312" w:cs="仿宋_GB2312"/>
          <w:b/>
          <w:bCs/>
          <w:sz w:val="32"/>
          <w:szCs w:val="32"/>
        </w:rPr>
        <w:t>规范管理率</w:t>
      </w:r>
      <w:r>
        <w:rPr>
          <w:rFonts w:hint="eastAsia" w:ascii="仿宋_GB2312" w:hAnsi="Times New Roman" w:eastAsia="仿宋_GB2312" w:cs="仿宋_GB2312"/>
          <w:b/>
          <w:bCs/>
          <w:sz w:val="32"/>
          <w:szCs w:val="32"/>
        </w:rPr>
        <w:t>应达到10</w:t>
      </w:r>
      <w:r>
        <w:rPr>
          <w:rFonts w:ascii="仿宋_GB2312" w:hAnsi="Times New Roman" w:eastAsia="仿宋_GB2312" w:cs="仿宋_GB2312"/>
          <w:b/>
          <w:bCs/>
          <w:sz w:val="32"/>
          <w:szCs w:val="32"/>
        </w:rPr>
        <w:t>0%。</w:t>
      </w:r>
      <w:r>
        <w:rPr>
          <w:rFonts w:ascii="仿宋_GB2312" w:hAnsi="Times New Roman" w:eastAsia="仿宋_GB2312" w:cs="仿宋_GB2312"/>
          <w:sz w:val="32"/>
          <w:szCs w:val="32"/>
        </w:rPr>
        <w:t>积极推行以慢性病自我管理为重点的社区</w:t>
      </w:r>
      <w:r>
        <w:rPr>
          <w:rFonts w:hint="eastAsia" w:ascii="仿宋_GB2312" w:hAnsi="Times New Roman" w:eastAsia="仿宋_GB2312" w:cs="仿宋_GB2312"/>
          <w:sz w:val="32"/>
          <w:szCs w:val="32"/>
        </w:rPr>
        <w:t>（村）</w:t>
      </w:r>
      <w:r>
        <w:rPr>
          <w:rFonts w:ascii="仿宋_GB2312" w:hAnsi="Times New Roman" w:eastAsia="仿宋_GB2312" w:cs="仿宋_GB2312"/>
          <w:sz w:val="32"/>
          <w:szCs w:val="32"/>
        </w:rPr>
        <w:t>慢性病干预适宜技术</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积极推进慢性病综合防控示范镇（街道）以及健康示范社区（村）创建工作，提高“两病”规范化管理水平。以服务效果和“两病”患者感受度为重点开展绩效评价，</w:t>
      </w:r>
      <w:r>
        <w:rPr>
          <w:rFonts w:hint="eastAsia" w:ascii="仿宋_GB2312" w:hAnsi="Times New Roman" w:eastAsia="仿宋_GB2312" w:cs="仿宋_GB2312"/>
          <w:b/>
          <w:bCs/>
          <w:sz w:val="32"/>
          <w:szCs w:val="32"/>
        </w:rPr>
        <w:t>与定点医药机构家庭医生签约费用及门诊费用拨付相挂钩，</w:t>
      </w:r>
      <w:r>
        <w:rPr>
          <w:rFonts w:ascii="仿宋_GB2312" w:hAnsi="Times New Roman" w:eastAsia="仿宋_GB2312" w:cs="仿宋_GB2312"/>
          <w:sz w:val="32"/>
          <w:szCs w:val="32"/>
        </w:rPr>
        <w:t>强化绩效考核结果激励奖惩作用</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基于</w:t>
      </w:r>
      <w:r>
        <w:rPr>
          <w:rFonts w:hint="eastAsia" w:ascii="仿宋_GB2312" w:hAnsi="Times New Roman" w:eastAsia="仿宋_GB2312" w:cs="仿宋_GB2312"/>
          <w:sz w:val="32"/>
          <w:szCs w:val="32"/>
        </w:rPr>
        <w:t>医保</w:t>
      </w:r>
      <w:r>
        <w:rPr>
          <w:rFonts w:ascii="仿宋_GB2312" w:hAnsi="Times New Roman" w:eastAsia="仿宋_GB2312" w:cs="仿宋_GB2312"/>
          <w:sz w:val="32"/>
          <w:szCs w:val="32"/>
        </w:rPr>
        <w:t>信息平台</w:t>
      </w:r>
      <w:r>
        <w:rPr>
          <w:rFonts w:hint="eastAsia" w:ascii="仿宋_GB2312" w:hAnsi="Times New Roman" w:eastAsia="仿宋_GB2312" w:cs="仿宋_GB2312"/>
          <w:sz w:val="32"/>
          <w:szCs w:val="32"/>
        </w:rPr>
        <w:t>和</w:t>
      </w:r>
      <w:r>
        <w:rPr>
          <w:rFonts w:ascii="仿宋_GB2312" w:hAnsi="Times New Roman" w:eastAsia="仿宋_GB2312" w:cs="仿宋_GB2312"/>
          <w:sz w:val="32"/>
          <w:szCs w:val="32"/>
        </w:rPr>
        <w:t>卫生信息平台，建设绩效考核信息系统，实行数字化考核评价，提高“两病”绩效考核精准度。</w:t>
      </w:r>
    </w:p>
    <w:p>
      <w:pPr>
        <w:pStyle w:val="5"/>
        <w:widowControl/>
        <w:spacing w:beforeAutospacing="0" w:afterAutospacing="0" w:line="560" w:lineRule="exact"/>
        <w:ind w:firstLine="645"/>
        <w:jc w:val="both"/>
        <w:rPr>
          <w:rFonts w:ascii="Times New Roman" w:hAnsi="Times New Roman"/>
          <w:sz w:val="32"/>
          <w:szCs w:val="32"/>
        </w:rPr>
      </w:pPr>
      <w:r>
        <w:rPr>
          <w:rFonts w:hint="eastAsia" w:ascii="仿宋_GB2312" w:hAnsi="Times New Roman" w:eastAsia="仿宋_GB2312" w:cs="仿宋_GB2312"/>
          <w:b/>
          <w:bCs/>
          <w:sz w:val="32"/>
          <w:szCs w:val="32"/>
        </w:rPr>
        <w:t>8</w:t>
      </w:r>
      <w:r>
        <w:rPr>
          <w:rFonts w:ascii="仿宋_GB2312" w:hAnsi="Times New Roman" w:eastAsia="仿宋_GB2312" w:cs="仿宋_GB2312"/>
          <w:b/>
          <w:bCs/>
          <w:sz w:val="32"/>
          <w:szCs w:val="32"/>
        </w:rPr>
        <w:t>.进一步提升“两病”患者的参与度。</w:t>
      </w:r>
      <w:r>
        <w:rPr>
          <w:rFonts w:ascii="仿宋_GB2312" w:hAnsi="Times New Roman" w:eastAsia="仿宋_GB2312" w:cs="仿宋_GB2312"/>
          <w:sz w:val="32"/>
          <w:szCs w:val="32"/>
        </w:rPr>
        <w:t>各级医疗卫生机构开展多形式、全方位、立体式的“两病”等慢性病防控相关知识宣传教育，提高“两病”患者参与自我管理的意识。每年5月固定为家庭医生签约服务宣传月，举办“5.19世界家庭医生日”主题活动。通过新闻媒介多渠道广泛宣传家庭医生和团队守护居民健康的典型事迹，不断提高 “两病”患者对签约服务的知晓率和参与度。</w:t>
      </w:r>
    </w:p>
    <w:p>
      <w:pPr>
        <w:pStyle w:val="5"/>
        <w:widowControl/>
        <w:spacing w:beforeAutospacing="0" w:afterAutospacing="0" w:line="560" w:lineRule="exact"/>
        <w:ind w:firstLine="645"/>
        <w:jc w:val="both"/>
        <w:rPr>
          <w:rFonts w:ascii="Times New Roman" w:hAnsi="Times New Roman"/>
          <w:b/>
          <w:bCs/>
          <w:sz w:val="32"/>
          <w:szCs w:val="32"/>
        </w:rPr>
      </w:pPr>
      <w:r>
        <w:rPr>
          <w:rFonts w:ascii="楷体_GB2312" w:hAnsi="Times New Roman" w:eastAsia="楷体_GB2312" w:cs="楷体_GB2312"/>
          <w:b/>
          <w:bCs/>
          <w:sz w:val="32"/>
          <w:szCs w:val="32"/>
        </w:rPr>
        <w:t>（</w:t>
      </w:r>
      <w:r>
        <w:rPr>
          <w:rFonts w:hint="eastAsia" w:ascii="楷体_GB2312" w:hAnsi="Times New Roman" w:eastAsia="楷体_GB2312" w:cs="楷体_GB2312"/>
          <w:b/>
          <w:bCs/>
          <w:sz w:val="32"/>
          <w:szCs w:val="32"/>
        </w:rPr>
        <w:t>三</w:t>
      </w:r>
      <w:r>
        <w:rPr>
          <w:rFonts w:ascii="楷体_GB2312" w:hAnsi="Times New Roman" w:eastAsia="楷体_GB2312" w:cs="楷体_GB2312"/>
          <w:b/>
          <w:bCs/>
          <w:sz w:val="32"/>
          <w:szCs w:val="32"/>
        </w:rPr>
        <w:t>）下沉“两病”审定，规范审定程序</w:t>
      </w:r>
    </w:p>
    <w:p>
      <w:pPr>
        <w:pStyle w:val="5"/>
        <w:widowControl/>
        <w:spacing w:beforeAutospacing="0" w:afterAutospacing="0" w:line="560" w:lineRule="exact"/>
        <w:ind w:firstLine="645"/>
        <w:jc w:val="both"/>
        <w:rPr>
          <w:rFonts w:ascii="Times New Roman" w:hAnsi="Times New Roman" w:eastAsia="仿宋_GB2312"/>
          <w:sz w:val="32"/>
          <w:szCs w:val="32"/>
        </w:rPr>
      </w:pPr>
      <w:r>
        <w:rPr>
          <w:rFonts w:hint="eastAsia" w:ascii="仿宋_GB2312" w:hAnsi="Times New Roman" w:eastAsia="仿宋_GB2312" w:cs="仿宋_GB2312"/>
          <w:b/>
          <w:bCs/>
          <w:sz w:val="32"/>
          <w:szCs w:val="32"/>
        </w:rPr>
        <w:t>9</w:t>
      </w:r>
      <w:r>
        <w:rPr>
          <w:rFonts w:ascii="仿宋_GB2312" w:hAnsi="Times New Roman" w:eastAsia="仿宋_GB2312" w:cs="仿宋_GB2312"/>
          <w:b/>
          <w:bCs/>
          <w:sz w:val="32"/>
          <w:szCs w:val="32"/>
        </w:rPr>
        <w:t>.“两病”认定备案。</w:t>
      </w:r>
      <w:r>
        <w:rPr>
          <w:rFonts w:ascii="仿宋_GB2312" w:hAnsi="Times New Roman" w:eastAsia="仿宋_GB2312" w:cs="仿宋_GB2312"/>
          <w:sz w:val="32"/>
          <w:szCs w:val="32"/>
        </w:rPr>
        <w:t>家庭医生在开展签约服务时，发现“两病”服务对象的，须进行“两病”认定备案，由家庭医生如实记录有关信息并传报医保经办机构审核确认</w:t>
      </w:r>
      <w:r>
        <w:rPr>
          <w:rFonts w:hint="eastAsia" w:ascii="仿宋_GB2312" w:hAnsi="Times New Roman" w:eastAsia="仿宋_GB2312" w:cs="仿宋_GB2312"/>
          <w:sz w:val="32"/>
          <w:szCs w:val="32"/>
        </w:rPr>
        <w:t>。</w:t>
      </w:r>
    </w:p>
    <w:p>
      <w:pPr>
        <w:pStyle w:val="5"/>
        <w:widowControl/>
        <w:spacing w:beforeAutospacing="0" w:afterAutospacing="0" w:line="560" w:lineRule="exact"/>
        <w:ind w:firstLine="645"/>
        <w:jc w:val="both"/>
        <w:rPr>
          <w:rFonts w:ascii="Times New Roman" w:hAnsi="Times New Roman"/>
          <w:sz w:val="32"/>
          <w:szCs w:val="32"/>
        </w:rPr>
      </w:pPr>
      <w:r>
        <w:rPr>
          <w:rFonts w:hint="eastAsia" w:ascii="仿宋_GB2312" w:hAnsi="Times New Roman" w:eastAsia="仿宋_GB2312" w:cs="仿宋_GB2312"/>
          <w:b/>
          <w:bCs/>
          <w:sz w:val="32"/>
          <w:szCs w:val="32"/>
        </w:rPr>
        <w:t>10</w:t>
      </w:r>
      <w:r>
        <w:rPr>
          <w:rFonts w:ascii="仿宋_GB2312" w:hAnsi="Times New Roman" w:eastAsia="仿宋_GB2312" w:cs="仿宋_GB2312"/>
          <w:b/>
          <w:bCs/>
          <w:sz w:val="32"/>
          <w:szCs w:val="32"/>
        </w:rPr>
        <w:t>.“两病”变更备案。</w:t>
      </w:r>
      <w:r>
        <w:rPr>
          <w:rFonts w:ascii="仿宋_GB2312" w:hAnsi="Times New Roman" w:eastAsia="仿宋_GB2312" w:cs="仿宋_GB2312"/>
          <w:sz w:val="32"/>
          <w:szCs w:val="32"/>
        </w:rPr>
        <w:t>家庭医生在开展签约服务</w:t>
      </w:r>
      <w:r>
        <w:rPr>
          <w:rFonts w:hint="eastAsia" w:ascii="仿宋_GB2312" w:hAnsi="Times New Roman" w:eastAsia="仿宋_GB2312" w:cs="仿宋_GB2312"/>
          <w:sz w:val="32"/>
          <w:szCs w:val="32"/>
        </w:rPr>
        <w:t>或定点医疗机构开展门诊诊疗</w:t>
      </w:r>
      <w:r>
        <w:rPr>
          <w:rFonts w:ascii="仿宋_GB2312" w:hAnsi="Times New Roman" w:eastAsia="仿宋_GB2312" w:cs="仿宋_GB2312"/>
          <w:sz w:val="32"/>
          <w:szCs w:val="32"/>
        </w:rPr>
        <w:t>时，发现“两病”服务对象已痊愈、病情进展、出现新病种、用药发生改变等，须进行“两病”变更备案，</w:t>
      </w:r>
      <w:r>
        <w:rPr>
          <w:rFonts w:ascii="仿宋_GB2312" w:hAnsi="Times New Roman" w:eastAsia="仿宋_GB2312" w:cs="仿宋_GB2312"/>
          <w:b/>
          <w:bCs/>
          <w:sz w:val="32"/>
          <w:szCs w:val="32"/>
        </w:rPr>
        <w:t>由家庭医生</w:t>
      </w:r>
      <w:r>
        <w:rPr>
          <w:rFonts w:hint="eastAsia" w:ascii="仿宋_GB2312" w:hAnsi="Times New Roman" w:eastAsia="仿宋_GB2312" w:cs="仿宋_GB2312"/>
          <w:b/>
          <w:bCs/>
          <w:sz w:val="32"/>
          <w:szCs w:val="32"/>
        </w:rPr>
        <w:t>或定点医疗机构接诊医生</w:t>
      </w:r>
      <w:r>
        <w:rPr>
          <w:rFonts w:ascii="仿宋_GB2312" w:hAnsi="Times New Roman" w:eastAsia="仿宋_GB2312" w:cs="仿宋_GB2312"/>
          <w:sz w:val="32"/>
          <w:szCs w:val="32"/>
        </w:rPr>
        <w:t>如实记录有关信息并传报医保经办机构审核确认。</w:t>
      </w:r>
    </w:p>
    <w:p>
      <w:pPr>
        <w:pStyle w:val="5"/>
        <w:widowControl/>
        <w:spacing w:beforeAutospacing="0" w:afterAutospacing="0" w:line="560" w:lineRule="exact"/>
        <w:ind w:firstLine="645"/>
        <w:jc w:val="both"/>
        <w:rPr>
          <w:rFonts w:ascii="Times New Roman" w:hAnsi="Times New Roman"/>
          <w:sz w:val="32"/>
          <w:szCs w:val="32"/>
        </w:rPr>
      </w:pPr>
      <w:r>
        <w:rPr>
          <w:rFonts w:hint="eastAsia" w:ascii="仿宋_GB2312" w:hAnsi="Times New Roman" w:eastAsia="仿宋_GB2312" w:cs="仿宋_GB2312"/>
          <w:b/>
          <w:bCs/>
          <w:sz w:val="32"/>
          <w:szCs w:val="32"/>
        </w:rPr>
        <w:t>11</w:t>
      </w:r>
      <w:r>
        <w:rPr>
          <w:rFonts w:ascii="仿宋_GB2312" w:hAnsi="Times New Roman" w:eastAsia="仿宋_GB2312" w:cs="仿宋_GB2312"/>
          <w:b/>
          <w:bCs/>
          <w:sz w:val="32"/>
          <w:szCs w:val="32"/>
        </w:rPr>
        <w:t>.备案要求。</w:t>
      </w:r>
      <w:r>
        <w:rPr>
          <w:rFonts w:ascii="仿宋_GB2312" w:hAnsi="Times New Roman" w:eastAsia="仿宋_GB2312" w:cs="仿宋_GB2312"/>
          <w:sz w:val="32"/>
          <w:szCs w:val="32"/>
        </w:rPr>
        <w:t>“两病”认定和变更备案结合家庭医生签约服务</w:t>
      </w:r>
      <w:r>
        <w:rPr>
          <w:rFonts w:hint="eastAsia" w:ascii="仿宋_GB2312" w:hAnsi="Times New Roman" w:eastAsia="仿宋_GB2312" w:cs="仿宋_GB2312"/>
          <w:sz w:val="32"/>
          <w:szCs w:val="32"/>
        </w:rPr>
        <w:t>及定点医疗机构门诊业务</w:t>
      </w:r>
      <w:r>
        <w:rPr>
          <w:rFonts w:ascii="仿宋_GB2312" w:hAnsi="Times New Roman" w:eastAsia="仿宋_GB2312" w:cs="仿宋_GB2312"/>
          <w:sz w:val="32"/>
          <w:szCs w:val="32"/>
        </w:rPr>
        <w:t>开展，对“两病”签约服务对象做到应备尽备，</w:t>
      </w:r>
      <w:r>
        <w:rPr>
          <w:rFonts w:ascii="仿宋_GB2312" w:hAnsi="Times New Roman" w:eastAsia="仿宋_GB2312" w:cs="仿宋_GB2312"/>
          <w:b/>
          <w:bCs/>
          <w:sz w:val="32"/>
          <w:szCs w:val="32"/>
        </w:rPr>
        <w:t>并与家庭医生慢性病规范化管理绩效考核</w:t>
      </w:r>
      <w:r>
        <w:rPr>
          <w:rFonts w:hint="eastAsia" w:ascii="仿宋_GB2312" w:hAnsi="Times New Roman" w:eastAsia="仿宋_GB2312" w:cs="仿宋_GB2312"/>
          <w:b/>
          <w:bCs/>
          <w:sz w:val="32"/>
          <w:szCs w:val="32"/>
        </w:rPr>
        <w:t>及定点医疗机构门诊服务质量考核相</w:t>
      </w:r>
      <w:r>
        <w:rPr>
          <w:rFonts w:ascii="仿宋_GB2312" w:hAnsi="Times New Roman" w:eastAsia="仿宋_GB2312" w:cs="仿宋_GB2312"/>
          <w:b/>
          <w:bCs/>
          <w:sz w:val="32"/>
          <w:szCs w:val="32"/>
        </w:rPr>
        <w:t>挂钩，</w:t>
      </w:r>
      <w:r>
        <w:rPr>
          <w:rFonts w:ascii="仿宋_GB2312" w:hAnsi="Times New Roman" w:eastAsia="仿宋_GB2312" w:cs="仿宋_GB2312"/>
          <w:sz w:val="32"/>
          <w:szCs w:val="32"/>
        </w:rPr>
        <w:t>确保“两病”患者享受相应的保障待遇。备案信息除包括“两病”患者的基本信息外，还应包括：“两病”等慢性病具体病种、慢性病用药连续（外配）处方等。备案工作通过卫健、医保</w:t>
      </w:r>
      <w:r>
        <w:rPr>
          <w:rFonts w:hint="eastAsia" w:ascii="仿宋_GB2312" w:hAnsi="Times New Roman" w:eastAsia="仿宋_GB2312" w:cs="仿宋_GB2312"/>
          <w:sz w:val="32"/>
          <w:szCs w:val="32"/>
        </w:rPr>
        <w:t>、医院、药店</w:t>
      </w:r>
      <w:r>
        <w:rPr>
          <w:rFonts w:ascii="仿宋_GB2312" w:hAnsi="Times New Roman" w:eastAsia="仿宋_GB2312" w:cs="仿宋_GB2312"/>
          <w:sz w:val="32"/>
          <w:szCs w:val="32"/>
        </w:rPr>
        <w:t>系统对接，</w:t>
      </w:r>
      <w:r>
        <w:rPr>
          <w:rFonts w:hint="eastAsia" w:ascii="仿宋_GB2312" w:hAnsi="Times New Roman" w:eastAsia="仿宋_GB2312" w:cs="仿宋_GB2312"/>
          <w:sz w:val="32"/>
          <w:szCs w:val="32"/>
        </w:rPr>
        <w:t>网上</w:t>
      </w:r>
      <w:r>
        <w:rPr>
          <w:rFonts w:ascii="仿宋_GB2312" w:hAnsi="Times New Roman" w:eastAsia="仿宋_GB2312" w:cs="仿宋_GB2312"/>
          <w:sz w:val="32"/>
          <w:szCs w:val="32"/>
        </w:rPr>
        <w:t>流转的方式开展。</w:t>
      </w:r>
    </w:p>
    <w:p>
      <w:pPr>
        <w:pStyle w:val="5"/>
        <w:widowControl/>
        <w:spacing w:beforeAutospacing="0" w:afterAutospacing="0" w:line="560" w:lineRule="exact"/>
        <w:ind w:firstLine="645"/>
        <w:jc w:val="both"/>
        <w:rPr>
          <w:rFonts w:ascii="Times New Roman" w:hAnsi="Times New Roman"/>
          <w:b/>
          <w:bCs/>
          <w:sz w:val="32"/>
          <w:szCs w:val="32"/>
        </w:rPr>
      </w:pPr>
      <w:r>
        <w:rPr>
          <w:rFonts w:ascii="楷体_GB2312" w:hAnsi="Times New Roman" w:eastAsia="楷体_GB2312" w:cs="楷体_GB2312"/>
          <w:b/>
          <w:bCs/>
          <w:sz w:val="32"/>
          <w:szCs w:val="32"/>
        </w:rPr>
        <w:t>（四）推进城乡统筹，加强药品配备和使用</w:t>
      </w:r>
    </w:p>
    <w:p>
      <w:pPr>
        <w:pStyle w:val="5"/>
        <w:widowControl/>
        <w:spacing w:beforeAutospacing="0" w:afterAutospacing="0" w:line="560" w:lineRule="exact"/>
        <w:ind w:firstLine="645"/>
        <w:jc w:val="both"/>
        <w:rPr>
          <w:rFonts w:ascii="Times New Roman" w:hAnsi="Times New Roman"/>
          <w:sz w:val="32"/>
          <w:szCs w:val="32"/>
        </w:rPr>
      </w:pPr>
      <w:r>
        <w:rPr>
          <w:rFonts w:ascii="仿宋_GB2312" w:hAnsi="Times New Roman" w:eastAsia="仿宋_GB2312" w:cs="仿宋_GB2312"/>
          <w:b/>
          <w:bCs/>
          <w:sz w:val="32"/>
          <w:szCs w:val="32"/>
        </w:rPr>
        <w:t>1</w:t>
      </w:r>
      <w:r>
        <w:rPr>
          <w:rFonts w:hint="eastAsia" w:ascii="仿宋_GB2312" w:hAnsi="Times New Roman" w:eastAsia="仿宋_GB2312" w:cs="仿宋_GB2312"/>
          <w:b/>
          <w:bCs/>
          <w:sz w:val="32"/>
          <w:szCs w:val="32"/>
        </w:rPr>
        <w:t>2</w:t>
      </w:r>
      <w:r>
        <w:rPr>
          <w:rFonts w:ascii="仿宋_GB2312" w:hAnsi="Times New Roman" w:eastAsia="仿宋_GB2312" w:cs="仿宋_GB2312"/>
          <w:b/>
          <w:bCs/>
          <w:sz w:val="32"/>
          <w:szCs w:val="32"/>
        </w:rPr>
        <w:t>.医</w:t>
      </w:r>
      <w:r>
        <w:rPr>
          <w:rFonts w:hint="eastAsia" w:ascii="仿宋_GB2312" w:hAnsi="Times New Roman" w:eastAsia="仿宋_GB2312" w:cs="仿宋_GB2312"/>
          <w:b/>
          <w:bCs/>
          <w:sz w:val="32"/>
          <w:szCs w:val="32"/>
        </w:rPr>
        <w:t>药</w:t>
      </w:r>
      <w:r>
        <w:rPr>
          <w:rFonts w:ascii="仿宋_GB2312" w:hAnsi="Times New Roman" w:eastAsia="仿宋_GB2312" w:cs="仿宋_GB2312"/>
          <w:b/>
          <w:bCs/>
          <w:sz w:val="32"/>
          <w:szCs w:val="32"/>
        </w:rPr>
        <w:t>机构统筹联动保供应。</w:t>
      </w:r>
      <w:r>
        <w:rPr>
          <w:rFonts w:hint="eastAsia" w:ascii="仿宋_GB2312" w:hAnsi="Times New Roman" w:eastAsia="仿宋_GB2312" w:cs="仿宋_GB2312"/>
          <w:sz w:val="32"/>
          <w:szCs w:val="32"/>
        </w:rPr>
        <w:t>全市具有相应资质的定点</w:t>
      </w:r>
      <w:r>
        <w:rPr>
          <w:rFonts w:ascii="仿宋_GB2312" w:hAnsi="Times New Roman" w:eastAsia="仿宋_GB2312" w:cs="仿宋_GB2312"/>
          <w:sz w:val="32"/>
          <w:szCs w:val="32"/>
        </w:rPr>
        <w:t>医疗机构</w:t>
      </w:r>
      <w:r>
        <w:rPr>
          <w:rFonts w:hint="eastAsia" w:ascii="仿宋_GB2312" w:hAnsi="Times New Roman" w:eastAsia="仿宋_GB2312" w:cs="仿宋_GB2312"/>
          <w:sz w:val="32"/>
          <w:szCs w:val="32"/>
        </w:rPr>
        <w:t>及定点零售药店均可开展“两病”供药及报销服务，原则上应</w:t>
      </w:r>
      <w:r>
        <w:rPr>
          <w:rFonts w:ascii="仿宋_GB2312" w:hAnsi="Times New Roman" w:eastAsia="仿宋_GB2312" w:cs="仿宋_GB2312"/>
          <w:sz w:val="32"/>
          <w:szCs w:val="32"/>
        </w:rPr>
        <w:t>统一配备使用国家组织集中招标采购中选药品，根据临床需要及时做好采购工作；</w:t>
      </w:r>
      <w:r>
        <w:rPr>
          <w:rFonts w:hint="eastAsia" w:ascii="仿宋_GB2312" w:hAnsi="Times New Roman" w:eastAsia="仿宋_GB2312" w:cs="仿宋_GB2312"/>
          <w:sz w:val="32"/>
          <w:szCs w:val="32"/>
        </w:rPr>
        <w:t>一级及以下</w:t>
      </w:r>
      <w:r>
        <w:rPr>
          <w:rFonts w:ascii="仿宋_GB2312" w:hAnsi="Times New Roman" w:eastAsia="仿宋_GB2312" w:cs="仿宋_GB2312"/>
          <w:sz w:val="32"/>
          <w:szCs w:val="32"/>
        </w:rPr>
        <w:t>基层医疗机构慢性病常用药备药率应达到上级医疗机构的70%以上。</w:t>
      </w:r>
    </w:p>
    <w:p>
      <w:pPr>
        <w:pStyle w:val="5"/>
        <w:widowControl/>
        <w:spacing w:beforeAutospacing="0" w:afterAutospacing="0" w:line="560" w:lineRule="exact"/>
        <w:ind w:firstLine="645"/>
        <w:jc w:val="both"/>
        <w:rPr>
          <w:rFonts w:ascii="Times New Roman" w:hAnsi="Times New Roman"/>
          <w:sz w:val="32"/>
          <w:szCs w:val="32"/>
        </w:rPr>
      </w:pPr>
      <w:r>
        <w:rPr>
          <w:rFonts w:ascii="仿宋_GB2312" w:hAnsi="Times New Roman" w:eastAsia="仿宋_GB2312" w:cs="仿宋_GB2312"/>
          <w:b/>
          <w:bCs/>
          <w:sz w:val="32"/>
          <w:szCs w:val="32"/>
        </w:rPr>
        <w:t>1</w:t>
      </w:r>
      <w:r>
        <w:rPr>
          <w:rFonts w:hint="eastAsia" w:ascii="仿宋_GB2312" w:hAnsi="Times New Roman" w:eastAsia="仿宋_GB2312" w:cs="仿宋_GB2312"/>
          <w:b/>
          <w:bCs/>
          <w:sz w:val="32"/>
          <w:szCs w:val="32"/>
        </w:rPr>
        <w:t>3</w:t>
      </w:r>
      <w:r>
        <w:rPr>
          <w:rFonts w:ascii="仿宋_GB2312" w:hAnsi="Times New Roman" w:eastAsia="仿宋_GB2312" w:cs="仿宋_GB2312"/>
          <w:b/>
          <w:bCs/>
          <w:sz w:val="32"/>
          <w:szCs w:val="32"/>
        </w:rPr>
        <w:t>.</w:t>
      </w:r>
      <w:r>
        <w:rPr>
          <w:rFonts w:hint="eastAsia" w:ascii="仿宋_GB2312" w:hAnsi="Times New Roman" w:eastAsia="仿宋_GB2312" w:cs="仿宋_GB2312"/>
          <w:b/>
          <w:bCs/>
          <w:sz w:val="32"/>
          <w:szCs w:val="32"/>
        </w:rPr>
        <w:t>定点</w:t>
      </w:r>
      <w:r>
        <w:rPr>
          <w:rFonts w:ascii="仿宋_GB2312" w:hAnsi="Times New Roman" w:eastAsia="仿宋_GB2312" w:cs="仿宋_GB2312"/>
          <w:b/>
          <w:bCs/>
          <w:sz w:val="32"/>
          <w:szCs w:val="32"/>
        </w:rPr>
        <w:t>医疗机构</w:t>
      </w:r>
      <w:r>
        <w:rPr>
          <w:rFonts w:hint="eastAsia" w:ascii="仿宋_GB2312" w:hAnsi="Times New Roman" w:eastAsia="仿宋_GB2312" w:cs="仿宋_GB2312"/>
          <w:b/>
          <w:bCs/>
          <w:sz w:val="32"/>
          <w:szCs w:val="32"/>
        </w:rPr>
        <w:t>及定点零售药店</w:t>
      </w:r>
      <w:r>
        <w:rPr>
          <w:rFonts w:ascii="仿宋_GB2312" w:hAnsi="Times New Roman" w:eastAsia="仿宋_GB2312" w:cs="仿宋_GB2312"/>
          <w:b/>
          <w:bCs/>
          <w:sz w:val="32"/>
          <w:szCs w:val="32"/>
        </w:rPr>
        <w:t>联动保供应。</w:t>
      </w:r>
      <w:r>
        <w:rPr>
          <w:rFonts w:hint="eastAsia" w:ascii="仿宋_GB2312" w:hAnsi="Times New Roman" w:eastAsia="仿宋_GB2312" w:cs="仿宋_GB2312"/>
          <w:sz w:val="32"/>
          <w:szCs w:val="32"/>
        </w:rPr>
        <w:t>定点</w:t>
      </w:r>
      <w:r>
        <w:rPr>
          <w:rFonts w:ascii="仿宋_GB2312" w:hAnsi="Times New Roman" w:eastAsia="仿宋_GB2312" w:cs="仿宋_GB2312"/>
          <w:sz w:val="32"/>
          <w:szCs w:val="32"/>
        </w:rPr>
        <w:t>医疗机构、</w:t>
      </w:r>
      <w:r>
        <w:rPr>
          <w:rFonts w:hint="eastAsia" w:ascii="仿宋_GB2312" w:hAnsi="Times New Roman" w:eastAsia="仿宋_GB2312" w:cs="仿宋_GB2312"/>
          <w:sz w:val="32"/>
          <w:szCs w:val="32"/>
        </w:rPr>
        <w:t>定点</w:t>
      </w:r>
      <w:r>
        <w:rPr>
          <w:rFonts w:ascii="仿宋_GB2312" w:hAnsi="Times New Roman" w:eastAsia="仿宋_GB2312" w:cs="仿宋_GB2312"/>
          <w:sz w:val="32"/>
          <w:szCs w:val="32"/>
        </w:rPr>
        <w:t>零售药店和医保经办机构信息系统互联互通，建立“两病”认定、云处方、药品供应和费用结算全流程的保障药品供应路径，确保“两病”患者药品开得出、用得上。</w:t>
      </w:r>
    </w:p>
    <w:p>
      <w:pPr>
        <w:pStyle w:val="5"/>
        <w:widowControl/>
        <w:spacing w:beforeAutospacing="0" w:afterAutospacing="0" w:line="560" w:lineRule="exact"/>
        <w:ind w:firstLine="645"/>
        <w:jc w:val="both"/>
        <w:rPr>
          <w:rFonts w:ascii="Times New Roman" w:hAnsi="Times New Roman"/>
          <w:b/>
          <w:bCs/>
          <w:sz w:val="32"/>
          <w:szCs w:val="32"/>
        </w:rPr>
      </w:pPr>
      <w:r>
        <w:rPr>
          <w:rFonts w:ascii="楷体_GB2312" w:hAnsi="Times New Roman" w:eastAsia="楷体_GB2312" w:cs="楷体_GB2312"/>
          <w:b/>
          <w:bCs/>
          <w:sz w:val="32"/>
          <w:szCs w:val="32"/>
        </w:rPr>
        <w:t>（五）强化协议管理，加强基金监管</w:t>
      </w:r>
    </w:p>
    <w:p>
      <w:pPr>
        <w:pStyle w:val="5"/>
        <w:widowControl/>
        <w:spacing w:beforeAutospacing="0" w:afterAutospacing="0" w:line="560" w:lineRule="exact"/>
        <w:ind w:firstLine="645"/>
        <w:jc w:val="both"/>
        <w:rPr>
          <w:rFonts w:ascii="Times New Roman" w:hAnsi="Times New Roman"/>
          <w:sz w:val="32"/>
          <w:szCs w:val="32"/>
        </w:rPr>
      </w:pPr>
      <w:r>
        <w:rPr>
          <w:rFonts w:hint="eastAsia" w:ascii="仿宋_GB2312" w:hAnsi="Times New Roman" w:eastAsia="仿宋_GB2312" w:cs="仿宋_GB2312"/>
          <w:b/>
          <w:bCs/>
          <w:sz w:val="32"/>
          <w:szCs w:val="32"/>
        </w:rPr>
        <w:t>14.</w:t>
      </w:r>
      <w:r>
        <w:rPr>
          <w:rFonts w:ascii="仿宋_GB2312" w:hAnsi="Times New Roman" w:eastAsia="仿宋_GB2312" w:cs="仿宋_GB2312"/>
          <w:sz w:val="32"/>
          <w:szCs w:val="32"/>
        </w:rPr>
        <w:t>完善医保定点协议，加强协议管理，并充分利用医保智能审核平台，借助大数据手段，加强事中、事后审核，杜绝不规范诊疗行为。</w:t>
      </w:r>
    </w:p>
    <w:p>
      <w:pPr>
        <w:pStyle w:val="5"/>
        <w:widowControl/>
        <w:spacing w:beforeAutospacing="0" w:afterAutospacing="0" w:line="560" w:lineRule="exact"/>
        <w:ind w:firstLine="645"/>
        <w:jc w:val="both"/>
        <w:rPr>
          <w:rFonts w:ascii="Times New Roman" w:hAnsi="Times New Roman"/>
          <w:b/>
          <w:bCs/>
          <w:sz w:val="32"/>
          <w:szCs w:val="32"/>
        </w:rPr>
      </w:pPr>
      <w:r>
        <w:rPr>
          <w:rFonts w:ascii="楷体_GB2312" w:hAnsi="Times New Roman" w:eastAsia="楷体_GB2312" w:cs="楷体_GB2312"/>
          <w:b/>
          <w:bCs/>
          <w:sz w:val="32"/>
          <w:szCs w:val="32"/>
        </w:rPr>
        <w:t>（六）加强数字赋能，探索慢性病医防保融合新机制</w:t>
      </w:r>
    </w:p>
    <w:p>
      <w:pPr>
        <w:pStyle w:val="5"/>
        <w:widowControl/>
        <w:spacing w:beforeAutospacing="0" w:afterAutospacing="0" w:line="560" w:lineRule="exact"/>
        <w:ind w:firstLine="645"/>
        <w:jc w:val="both"/>
        <w:rPr>
          <w:rFonts w:ascii="Times New Roman" w:hAnsi="Times New Roman"/>
          <w:sz w:val="32"/>
          <w:szCs w:val="32"/>
        </w:rPr>
      </w:pPr>
      <w:r>
        <w:rPr>
          <w:rFonts w:hint="eastAsia" w:ascii="CESI仿宋-GB2312" w:hAnsi="CESI仿宋-GB2312" w:eastAsia="CESI仿宋-GB2312" w:cs="CESI仿宋-GB2312"/>
          <w:b/>
          <w:bCs/>
          <w:sz w:val="32"/>
          <w:szCs w:val="32"/>
        </w:rPr>
        <w:t>15.</w:t>
      </w:r>
      <w:r>
        <w:rPr>
          <w:rFonts w:ascii="CESI仿宋-GB2312" w:hAnsi="CESI仿宋-GB2312" w:eastAsia="CESI仿宋-GB2312" w:cs="CESI仿宋-GB2312"/>
          <w:sz w:val="32"/>
          <w:szCs w:val="32"/>
        </w:rPr>
        <w:t>在“两病”示范城市建设中，不断加强数字赋能，推进数字化改革，创新服务模式，</w:t>
      </w:r>
      <w:r>
        <w:rPr>
          <w:rFonts w:hint="eastAsia" w:ascii="CESI仿宋-GB2312" w:hAnsi="CESI仿宋-GB2312" w:eastAsia="CESI仿宋-GB2312" w:cs="CESI仿宋-GB2312"/>
          <w:sz w:val="32"/>
          <w:szCs w:val="32"/>
        </w:rPr>
        <w:t>探索</w:t>
      </w:r>
      <w:r>
        <w:rPr>
          <w:rFonts w:ascii="CESI仿宋-GB2312" w:hAnsi="CESI仿宋-GB2312" w:eastAsia="CESI仿宋-GB2312" w:cs="CESI仿宋-GB2312"/>
          <w:sz w:val="32"/>
          <w:szCs w:val="32"/>
        </w:rPr>
        <w:t>建立“互联网+医保+医疗+医药”的“两病”综合服务体系，</w:t>
      </w:r>
      <w:r>
        <w:rPr>
          <w:rFonts w:hint="eastAsia" w:ascii="CESI仿宋-GB2312" w:hAnsi="CESI仿宋-GB2312" w:eastAsia="CESI仿宋-GB2312" w:cs="CESI仿宋-GB2312"/>
          <w:sz w:val="32"/>
          <w:szCs w:val="32"/>
        </w:rPr>
        <w:t>探索</w:t>
      </w:r>
      <w:r>
        <w:rPr>
          <w:rFonts w:ascii="CESI仿宋-GB2312" w:hAnsi="CESI仿宋-GB2312" w:eastAsia="CESI仿宋-GB2312" w:cs="CESI仿宋-GB2312"/>
          <w:sz w:val="32"/>
          <w:szCs w:val="32"/>
        </w:rPr>
        <w:t>开展在线健康咨询、预约转诊、慢性病随访、健康管理、慢性病门诊待遇备案（变更备案）、云处方、复诊核验、送药到家等全过程服务，探索建立慢性病医防保融合新机制，为慢性病患者提供更加便捷、有效、可及的门诊用药保障和健康管理服务。</w:t>
      </w:r>
    </w:p>
    <w:p>
      <w:pPr>
        <w:pStyle w:val="5"/>
        <w:widowControl/>
        <w:spacing w:beforeAutospacing="0" w:afterAutospacing="0" w:line="560" w:lineRule="exact"/>
        <w:ind w:firstLine="645"/>
        <w:jc w:val="both"/>
        <w:rPr>
          <w:rFonts w:ascii="Times New Roman" w:hAnsi="Times New Roman"/>
          <w:sz w:val="32"/>
          <w:szCs w:val="32"/>
        </w:rPr>
      </w:pPr>
      <w:r>
        <w:rPr>
          <w:rFonts w:hint="eastAsia" w:ascii="黑体" w:hAnsi="宋体" w:eastAsia="黑体" w:cs="黑体"/>
          <w:sz w:val="32"/>
          <w:szCs w:val="32"/>
        </w:rPr>
        <w:t>三、实施步骤</w:t>
      </w:r>
    </w:p>
    <w:p>
      <w:pPr>
        <w:pStyle w:val="5"/>
        <w:widowControl/>
        <w:spacing w:beforeAutospacing="0" w:afterAutospacing="0" w:line="560" w:lineRule="exact"/>
        <w:ind w:firstLine="645"/>
        <w:jc w:val="both"/>
        <w:rPr>
          <w:rFonts w:ascii="Times New Roman" w:hAnsi="Times New Roman"/>
          <w:sz w:val="32"/>
          <w:szCs w:val="32"/>
        </w:rPr>
      </w:pPr>
      <w:r>
        <w:rPr>
          <w:rFonts w:ascii="楷体_GB2312" w:hAnsi="Times New Roman" w:eastAsia="楷体_GB2312" w:cs="楷体_GB2312"/>
          <w:b/>
          <w:bCs/>
          <w:sz w:val="32"/>
          <w:szCs w:val="32"/>
        </w:rPr>
        <w:t>（一）启动实施（202</w:t>
      </w:r>
      <w:r>
        <w:rPr>
          <w:rFonts w:hint="eastAsia" w:ascii="楷体_GB2312" w:hAnsi="Times New Roman" w:eastAsia="楷体_GB2312" w:cs="楷体_GB2312"/>
          <w:b/>
          <w:bCs/>
          <w:sz w:val="32"/>
          <w:szCs w:val="32"/>
        </w:rPr>
        <w:t>2</w:t>
      </w:r>
      <w:r>
        <w:rPr>
          <w:rFonts w:ascii="楷体_GB2312" w:hAnsi="Times New Roman" w:eastAsia="楷体_GB2312" w:cs="楷体_GB2312"/>
          <w:b/>
          <w:bCs/>
          <w:sz w:val="32"/>
          <w:szCs w:val="32"/>
        </w:rPr>
        <w:t>年</w:t>
      </w:r>
      <w:r>
        <w:rPr>
          <w:rFonts w:hint="eastAsia" w:ascii="楷体_GB2312" w:hAnsi="Times New Roman" w:eastAsia="楷体_GB2312" w:cs="楷体_GB2312"/>
          <w:b/>
          <w:bCs/>
          <w:sz w:val="32"/>
          <w:szCs w:val="32"/>
        </w:rPr>
        <w:t>10</w:t>
      </w:r>
      <w:r>
        <w:rPr>
          <w:rFonts w:ascii="楷体_GB2312" w:hAnsi="Times New Roman" w:eastAsia="楷体_GB2312" w:cs="楷体_GB2312"/>
          <w:b/>
          <w:bCs/>
          <w:sz w:val="32"/>
          <w:szCs w:val="32"/>
        </w:rPr>
        <w:t>月）</w:t>
      </w:r>
      <w:r>
        <w:rPr>
          <w:rFonts w:ascii="楷体_GB2312" w:hAnsi="Times New Roman" w:eastAsia="楷体_GB2312" w:cs="楷体_GB2312"/>
          <w:sz w:val="32"/>
          <w:szCs w:val="32"/>
        </w:rPr>
        <w:t>。</w:t>
      </w:r>
      <w:r>
        <w:rPr>
          <w:rFonts w:hint="eastAsia" w:ascii="仿宋" w:hAnsi="仿宋" w:eastAsia="仿宋" w:cs="仿宋"/>
          <w:sz w:val="32"/>
          <w:szCs w:val="32"/>
        </w:rPr>
        <w:t>各</w:t>
      </w:r>
      <w:r>
        <w:rPr>
          <w:rFonts w:hint="eastAsia" w:ascii="仿宋_GB2312" w:hAnsi="Times New Roman" w:eastAsia="仿宋_GB2312" w:cs="仿宋_GB2312"/>
          <w:sz w:val="32"/>
          <w:szCs w:val="32"/>
        </w:rPr>
        <w:t>定点</w:t>
      </w:r>
      <w:r>
        <w:rPr>
          <w:rFonts w:ascii="仿宋_GB2312" w:hAnsi="Times New Roman" w:eastAsia="仿宋_GB2312" w:cs="仿宋_GB2312"/>
          <w:sz w:val="32"/>
          <w:szCs w:val="32"/>
        </w:rPr>
        <w:t>医疗机构</w:t>
      </w:r>
      <w:r>
        <w:rPr>
          <w:rFonts w:hint="eastAsia" w:ascii="仿宋_GB2312" w:hAnsi="Times New Roman" w:eastAsia="仿宋_GB2312" w:cs="仿宋_GB2312"/>
          <w:sz w:val="32"/>
          <w:szCs w:val="32"/>
        </w:rPr>
        <w:t>及定点零售药店</w:t>
      </w:r>
      <w:r>
        <w:rPr>
          <w:rFonts w:ascii="仿宋_GB2312" w:hAnsi="Times New Roman" w:eastAsia="仿宋_GB2312" w:cs="仿宋_GB2312"/>
          <w:sz w:val="32"/>
          <w:szCs w:val="32"/>
        </w:rPr>
        <w:t>按活动方案要求，开展相关工作，并按季度报告工作进展、成效和问题。</w:t>
      </w:r>
    </w:p>
    <w:p>
      <w:pPr>
        <w:pStyle w:val="5"/>
        <w:widowControl/>
        <w:spacing w:beforeAutospacing="0" w:afterAutospacing="0" w:line="560" w:lineRule="exact"/>
        <w:ind w:firstLine="645"/>
        <w:jc w:val="both"/>
        <w:rPr>
          <w:rFonts w:ascii="Times New Roman" w:hAnsi="Times New Roman"/>
          <w:sz w:val="32"/>
          <w:szCs w:val="32"/>
        </w:rPr>
      </w:pPr>
      <w:r>
        <w:rPr>
          <w:rFonts w:ascii="楷体_GB2312" w:hAnsi="Times New Roman" w:eastAsia="楷体_GB2312" w:cs="楷体_GB2312"/>
          <w:b/>
          <w:bCs/>
          <w:sz w:val="32"/>
          <w:szCs w:val="32"/>
        </w:rPr>
        <w:t>（二）全面落实（202</w:t>
      </w:r>
      <w:r>
        <w:rPr>
          <w:rFonts w:hint="eastAsia" w:ascii="楷体_GB2312" w:hAnsi="Times New Roman" w:eastAsia="楷体_GB2312" w:cs="楷体_GB2312"/>
          <w:b/>
          <w:bCs/>
          <w:sz w:val="32"/>
          <w:szCs w:val="32"/>
        </w:rPr>
        <w:t>2</w:t>
      </w:r>
      <w:r>
        <w:rPr>
          <w:rFonts w:ascii="楷体_GB2312" w:hAnsi="Times New Roman" w:eastAsia="楷体_GB2312" w:cs="楷体_GB2312"/>
          <w:b/>
          <w:bCs/>
          <w:sz w:val="32"/>
          <w:szCs w:val="32"/>
        </w:rPr>
        <w:t>年1</w:t>
      </w:r>
      <w:r>
        <w:rPr>
          <w:rFonts w:hint="eastAsia" w:ascii="楷体_GB2312" w:hAnsi="Times New Roman" w:eastAsia="楷体_GB2312" w:cs="楷体_GB2312"/>
          <w:b/>
          <w:bCs/>
          <w:sz w:val="32"/>
          <w:szCs w:val="32"/>
        </w:rPr>
        <w:t>0</w:t>
      </w:r>
      <w:r>
        <w:rPr>
          <w:rFonts w:ascii="楷体_GB2312" w:hAnsi="Times New Roman" w:eastAsia="楷体_GB2312" w:cs="楷体_GB2312"/>
          <w:b/>
          <w:bCs/>
          <w:sz w:val="32"/>
          <w:szCs w:val="32"/>
        </w:rPr>
        <w:t>月-2022年1</w:t>
      </w:r>
      <w:r>
        <w:rPr>
          <w:rFonts w:hint="eastAsia" w:ascii="楷体_GB2312" w:hAnsi="Times New Roman" w:eastAsia="楷体_GB2312" w:cs="楷体_GB2312"/>
          <w:b/>
          <w:bCs/>
          <w:sz w:val="32"/>
          <w:szCs w:val="32"/>
        </w:rPr>
        <w:t>2</w:t>
      </w:r>
      <w:r>
        <w:rPr>
          <w:rFonts w:ascii="楷体_GB2312" w:hAnsi="Times New Roman" w:eastAsia="楷体_GB2312" w:cs="楷体_GB2312"/>
          <w:b/>
          <w:bCs/>
          <w:sz w:val="32"/>
          <w:szCs w:val="32"/>
        </w:rPr>
        <w:t>月）</w:t>
      </w:r>
      <w:r>
        <w:rPr>
          <w:rFonts w:ascii="楷体_GB2312" w:hAnsi="Times New Roman" w:eastAsia="楷体_GB2312" w:cs="楷体_GB2312"/>
          <w:sz w:val="32"/>
          <w:szCs w:val="32"/>
        </w:rPr>
        <w:t>。</w:t>
      </w:r>
      <w:r>
        <w:rPr>
          <w:rFonts w:ascii="仿宋_GB2312" w:hAnsi="Times New Roman" w:eastAsia="仿宋_GB2312" w:cs="仿宋_GB2312"/>
          <w:sz w:val="32"/>
          <w:szCs w:val="32"/>
        </w:rPr>
        <w:t>结合活动成效，深入分析问题和不足，完善活动计划和内容，并总结提炼先进做法和成熟经验，加以推广应用。</w:t>
      </w:r>
    </w:p>
    <w:p>
      <w:pPr>
        <w:pStyle w:val="5"/>
        <w:widowControl/>
        <w:spacing w:beforeAutospacing="0" w:afterAutospacing="0" w:line="560" w:lineRule="exact"/>
        <w:ind w:firstLine="645"/>
        <w:jc w:val="both"/>
        <w:rPr>
          <w:rFonts w:ascii="Times New Roman" w:hAnsi="Times New Roman"/>
          <w:sz w:val="32"/>
          <w:szCs w:val="32"/>
        </w:rPr>
      </w:pPr>
      <w:r>
        <w:rPr>
          <w:rFonts w:ascii="楷体_GB2312" w:hAnsi="Times New Roman" w:eastAsia="楷体_GB2312" w:cs="楷体_GB2312"/>
          <w:b/>
          <w:bCs/>
          <w:sz w:val="32"/>
          <w:szCs w:val="32"/>
        </w:rPr>
        <w:t>（三）总结评估（202</w:t>
      </w:r>
      <w:r>
        <w:rPr>
          <w:rFonts w:hint="eastAsia" w:ascii="楷体_GB2312" w:hAnsi="Times New Roman" w:eastAsia="楷体_GB2312" w:cs="楷体_GB2312"/>
          <w:b/>
          <w:bCs/>
          <w:sz w:val="32"/>
          <w:szCs w:val="32"/>
        </w:rPr>
        <w:t>3</w:t>
      </w:r>
      <w:r>
        <w:rPr>
          <w:rFonts w:ascii="楷体_GB2312" w:hAnsi="Times New Roman" w:eastAsia="楷体_GB2312" w:cs="楷体_GB2312"/>
          <w:b/>
          <w:bCs/>
          <w:sz w:val="32"/>
          <w:szCs w:val="32"/>
        </w:rPr>
        <w:t>年1月-</w:t>
      </w:r>
      <w:r>
        <w:rPr>
          <w:rFonts w:hint="eastAsia" w:ascii="楷体_GB2312" w:hAnsi="Times New Roman" w:eastAsia="楷体_GB2312" w:cs="楷体_GB2312"/>
          <w:b/>
          <w:bCs/>
          <w:sz w:val="32"/>
          <w:szCs w:val="32"/>
        </w:rPr>
        <w:t>6</w:t>
      </w:r>
      <w:r>
        <w:rPr>
          <w:rFonts w:ascii="楷体_GB2312" w:hAnsi="Times New Roman" w:eastAsia="楷体_GB2312" w:cs="楷体_GB2312"/>
          <w:b/>
          <w:bCs/>
          <w:sz w:val="32"/>
          <w:szCs w:val="32"/>
        </w:rPr>
        <w:t>月）</w:t>
      </w:r>
      <w:r>
        <w:rPr>
          <w:rFonts w:ascii="楷体_GB2312" w:hAnsi="Times New Roman" w:eastAsia="楷体_GB2312" w:cs="楷体_GB2312"/>
          <w:sz w:val="32"/>
          <w:szCs w:val="32"/>
        </w:rPr>
        <w:t>。</w:t>
      </w:r>
      <w:r>
        <w:rPr>
          <w:rFonts w:ascii="仿宋_GB2312" w:hAnsi="Times New Roman" w:eastAsia="仿宋_GB2312" w:cs="仿宋_GB2312"/>
          <w:sz w:val="32"/>
          <w:szCs w:val="32"/>
        </w:rPr>
        <w:t>总结活动开展情况，市医疗保障局和市卫生健康委将开展总结评估，择优通报表扬。</w:t>
      </w:r>
    </w:p>
    <w:p>
      <w:pPr>
        <w:pStyle w:val="5"/>
        <w:widowControl/>
        <w:spacing w:beforeAutospacing="0" w:afterAutospacing="0" w:line="560" w:lineRule="exact"/>
        <w:ind w:firstLine="645"/>
        <w:jc w:val="both"/>
        <w:rPr>
          <w:rFonts w:ascii="Times New Roman" w:hAnsi="Times New Roman"/>
          <w:sz w:val="32"/>
          <w:szCs w:val="32"/>
        </w:rPr>
      </w:pPr>
      <w:r>
        <w:rPr>
          <w:rFonts w:hint="eastAsia" w:ascii="黑体" w:hAnsi="宋体" w:eastAsia="黑体" w:cs="黑体"/>
          <w:sz w:val="32"/>
          <w:szCs w:val="32"/>
        </w:rPr>
        <w:t>四、工作要求</w:t>
      </w:r>
    </w:p>
    <w:p>
      <w:pPr>
        <w:pStyle w:val="5"/>
        <w:widowControl/>
        <w:spacing w:beforeAutospacing="0" w:afterAutospacing="0" w:line="560" w:lineRule="exact"/>
        <w:ind w:firstLine="645"/>
        <w:jc w:val="both"/>
        <w:rPr>
          <w:rFonts w:ascii="Times New Roman" w:hAnsi="Times New Roman"/>
          <w:sz w:val="32"/>
          <w:szCs w:val="32"/>
        </w:rPr>
      </w:pPr>
      <w:r>
        <w:rPr>
          <w:rFonts w:ascii="楷体_GB2312" w:hAnsi="Times New Roman" w:eastAsia="楷体_GB2312" w:cs="楷体_GB2312"/>
          <w:b/>
          <w:bCs/>
          <w:sz w:val="32"/>
          <w:szCs w:val="32"/>
        </w:rPr>
        <w:t>（一）提高政治站位。</w:t>
      </w:r>
      <w:r>
        <w:rPr>
          <w:rFonts w:hint="eastAsia" w:ascii="仿宋" w:hAnsi="仿宋" w:eastAsia="仿宋" w:cs="仿宋"/>
          <w:sz w:val="32"/>
          <w:szCs w:val="32"/>
        </w:rPr>
        <w:t>各</w:t>
      </w:r>
      <w:r>
        <w:rPr>
          <w:rFonts w:hint="eastAsia" w:ascii="仿宋_GB2312" w:hAnsi="Times New Roman" w:eastAsia="仿宋_GB2312" w:cs="仿宋_GB2312"/>
          <w:sz w:val="32"/>
          <w:szCs w:val="32"/>
        </w:rPr>
        <w:t>定点</w:t>
      </w:r>
      <w:r>
        <w:rPr>
          <w:rFonts w:ascii="仿宋_GB2312" w:hAnsi="Times New Roman" w:eastAsia="仿宋_GB2312" w:cs="仿宋_GB2312"/>
          <w:sz w:val="32"/>
          <w:szCs w:val="32"/>
        </w:rPr>
        <w:t>医疗机构</w:t>
      </w:r>
      <w:r>
        <w:rPr>
          <w:rFonts w:hint="eastAsia" w:ascii="仿宋_GB2312" w:hAnsi="Times New Roman" w:eastAsia="仿宋_GB2312" w:cs="仿宋_GB2312"/>
          <w:sz w:val="32"/>
          <w:szCs w:val="32"/>
        </w:rPr>
        <w:t>及定点零售药店</w:t>
      </w:r>
      <w:r>
        <w:rPr>
          <w:rFonts w:ascii="仿宋_GB2312" w:hAnsi="Times New Roman" w:eastAsia="仿宋_GB2312" w:cs="仿宋_GB2312"/>
          <w:sz w:val="32"/>
          <w:szCs w:val="32"/>
        </w:rPr>
        <w:t>要高度重视“两病”门诊用药保障和健康管理工作，充分认识此项活动的重要意义，周密研究部署推进各项工作任务，确保群众待遇享受落到实处，确实提高人群健康水平。</w:t>
      </w:r>
    </w:p>
    <w:p>
      <w:pPr>
        <w:pStyle w:val="5"/>
        <w:widowControl/>
        <w:spacing w:beforeAutospacing="0" w:afterAutospacing="0" w:line="560" w:lineRule="exact"/>
        <w:ind w:firstLine="645"/>
        <w:jc w:val="both"/>
        <w:rPr>
          <w:rFonts w:ascii="Times New Roman" w:hAnsi="Times New Roman"/>
          <w:sz w:val="32"/>
          <w:szCs w:val="32"/>
        </w:rPr>
      </w:pPr>
      <w:r>
        <w:rPr>
          <w:rFonts w:ascii="楷体_GB2312" w:hAnsi="Times New Roman" w:eastAsia="楷体_GB2312" w:cs="楷体_GB2312"/>
          <w:b/>
          <w:bCs/>
          <w:sz w:val="32"/>
          <w:szCs w:val="32"/>
        </w:rPr>
        <w:t>（二）强化综合协作。</w:t>
      </w:r>
      <w:r>
        <w:rPr>
          <w:rFonts w:ascii="仿宋_GB2312" w:hAnsi="Times New Roman" w:eastAsia="仿宋_GB2312" w:cs="仿宋_GB2312"/>
          <w:sz w:val="32"/>
          <w:szCs w:val="32"/>
        </w:rPr>
        <w:t>各区医疗保障和卫生健康部门要建立“两病”门诊用药保障和健康管理工作协调推进机制，密切配合，加强工作调度和评估，共同推进示范城市创建活动。</w:t>
      </w:r>
    </w:p>
    <w:p>
      <w:pPr>
        <w:pStyle w:val="5"/>
        <w:widowControl/>
        <w:spacing w:beforeAutospacing="0" w:afterAutospacing="0" w:line="560" w:lineRule="exact"/>
        <w:ind w:firstLine="645"/>
        <w:jc w:val="both"/>
        <w:rPr>
          <w:rFonts w:ascii="Times New Roman" w:hAnsi="Times New Roman"/>
          <w:sz w:val="32"/>
          <w:szCs w:val="32"/>
        </w:rPr>
      </w:pPr>
      <w:r>
        <w:rPr>
          <w:rFonts w:ascii="楷体_GB2312" w:hAnsi="Times New Roman" w:eastAsia="楷体_GB2312" w:cs="楷体_GB2312"/>
          <w:b/>
          <w:bCs/>
          <w:sz w:val="32"/>
          <w:szCs w:val="32"/>
        </w:rPr>
        <w:t>（三）加强内部管理。</w:t>
      </w:r>
      <w:r>
        <w:rPr>
          <w:rFonts w:ascii="仿宋_GB2312" w:hAnsi="Times New Roman" w:eastAsia="仿宋_GB2312" w:cs="仿宋_GB2312"/>
          <w:sz w:val="32"/>
          <w:szCs w:val="32"/>
        </w:rPr>
        <w:t>各区要切实担起开展示范城市活动的责任，制定工作计划，定期报告工作进展和成效，及时研究解决活动中的问题和困难，扎实推进活动开展。</w:t>
      </w:r>
    </w:p>
    <w:p>
      <w:pPr>
        <w:pStyle w:val="5"/>
        <w:widowControl/>
        <w:spacing w:beforeAutospacing="0" w:afterAutospacing="0" w:line="560" w:lineRule="exact"/>
        <w:ind w:firstLine="645"/>
        <w:jc w:val="both"/>
        <w:rPr>
          <w:rFonts w:ascii="Times New Roman" w:hAnsi="Times New Roman"/>
          <w:sz w:val="32"/>
          <w:szCs w:val="32"/>
        </w:rPr>
      </w:pPr>
      <w:r>
        <w:rPr>
          <w:rFonts w:ascii="楷体_GB2312" w:hAnsi="Times New Roman" w:eastAsia="楷体_GB2312" w:cs="楷体_GB2312"/>
          <w:b/>
          <w:bCs/>
          <w:sz w:val="32"/>
          <w:szCs w:val="32"/>
        </w:rPr>
        <w:t>（四）落实报送制度。</w:t>
      </w:r>
      <w:r>
        <w:rPr>
          <w:rFonts w:ascii="仿宋_GB2312" w:hAnsi="Times New Roman" w:eastAsia="仿宋_GB2312" w:cs="仿宋_GB2312"/>
          <w:sz w:val="32"/>
          <w:szCs w:val="32"/>
        </w:rPr>
        <w:t>各区医保和卫健部门要按季度向市医保局和市卫健委报送工作开展情况</w:t>
      </w:r>
      <w:r>
        <w:rPr>
          <w:rFonts w:hint="eastAsia" w:ascii="仿宋_GB2312" w:hAnsi="Times New Roman" w:eastAsia="仿宋_GB2312" w:cs="仿宋_GB2312"/>
          <w:sz w:val="32"/>
          <w:szCs w:val="32"/>
        </w:rPr>
        <w:t>；</w:t>
      </w:r>
      <w:r>
        <w:rPr>
          <w:rFonts w:hint="eastAsia" w:ascii="仿宋" w:hAnsi="仿宋" w:eastAsia="仿宋" w:cs="仿宋"/>
          <w:sz w:val="32"/>
          <w:szCs w:val="32"/>
        </w:rPr>
        <w:t>各</w:t>
      </w:r>
      <w:r>
        <w:rPr>
          <w:rFonts w:hint="eastAsia" w:ascii="仿宋_GB2312" w:hAnsi="Times New Roman" w:eastAsia="仿宋_GB2312" w:cs="仿宋_GB2312"/>
          <w:sz w:val="32"/>
          <w:szCs w:val="32"/>
        </w:rPr>
        <w:t>定点</w:t>
      </w:r>
      <w:r>
        <w:rPr>
          <w:rFonts w:ascii="仿宋_GB2312" w:hAnsi="Times New Roman" w:eastAsia="仿宋_GB2312" w:cs="仿宋_GB2312"/>
          <w:sz w:val="32"/>
          <w:szCs w:val="32"/>
        </w:rPr>
        <w:t>医疗机构</w:t>
      </w:r>
      <w:r>
        <w:rPr>
          <w:rFonts w:hint="eastAsia" w:ascii="仿宋_GB2312" w:hAnsi="Times New Roman" w:eastAsia="仿宋_GB2312" w:cs="仿宋_GB2312"/>
          <w:sz w:val="32"/>
          <w:szCs w:val="32"/>
        </w:rPr>
        <w:t>及定点零售药店</w:t>
      </w:r>
      <w:r>
        <w:rPr>
          <w:rFonts w:ascii="仿宋_GB2312" w:hAnsi="Times New Roman" w:eastAsia="仿宋_GB2312" w:cs="仿宋_GB2312"/>
          <w:sz w:val="32"/>
          <w:szCs w:val="32"/>
        </w:rPr>
        <w:t>要按</w:t>
      </w:r>
      <w:r>
        <w:rPr>
          <w:rFonts w:hint="eastAsia" w:ascii="仿宋_GB2312" w:hAnsi="Times New Roman" w:eastAsia="仿宋_GB2312" w:cs="仿宋_GB2312"/>
          <w:sz w:val="32"/>
          <w:szCs w:val="32"/>
        </w:rPr>
        <w:t>月</w:t>
      </w:r>
      <w:r>
        <w:rPr>
          <w:rFonts w:ascii="仿宋_GB2312" w:hAnsi="Times New Roman" w:eastAsia="仿宋_GB2312" w:cs="仿宋_GB2312"/>
          <w:sz w:val="32"/>
          <w:szCs w:val="32"/>
        </w:rPr>
        <w:t>向市医保局</w:t>
      </w:r>
      <w:r>
        <w:rPr>
          <w:rFonts w:hint="eastAsia" w:ascii="仿宋_GB2312" w:hAnsi="Times New Roman" w:eastAsia="仿宋_GB2312" w:cs="仿宋_GB2312"/>
          <w:sz w:val="32"/>
          <w:szCs w:val="32"/>
        </w:rPr>
        <w:t>医保服务中心</w:t>
      </w:r>
      <w:r>
        <w:rPr>
          <w:rFonts w:ascii="仿宋_GB2312" w:hAnsi="Times New Roman" w:eastAsia="仿宋_GB2312" w:cs="仿宋_GB2312"/>
          <w:sz w:val="32"/>
          <w:szCs w:val="32"/>
        </w:rPr>
        <w:t>和市卫健委报送工作</w:t>
      </w:r>
      <w:r>
        <w:rPr>
          <w:rFonts w:hint="eastAsia" w:ascii="仿宋_GB2312" w:hAnsi="Times New Roman" w:eastAsia="仿宋_GB2312" w:cs="仿宋_GB2312"/>
          <w:sz w:val="32"/>
          <w:szCs w:val="32"/>
        </w:rPr>
        <w:t>报表（社区服务站、村卫生室数据由辖区所在地社区服务中心、乡镇卫生院汇总统计上报）</w:t>
      </w:r>
      <w:r>
        <w:rPr>
          <w:rFonts w:ascii="仿宋_GB2312" w:hAnsi="Times New Roman" w:eastAsia="仿宋_GB2312" w:cs="仿宋_GB2312"/>
          <w:sz w:val="32"/>
          <w:szCs w:val="32"/>
        </w:rPr>
        <w:t>，争取各方支持，保障活动深入持续开展，做好交流宣传工作。</w:t>
      </w:r>
    </w:p>
    <w:p>
      <w:pPr>
        <w:pStyle w:val="5"/>
        <w:widowControl/>
        <w:spacing w:beforeAutospacing="0" w:afterAutospacing="0" w:line="560" w:lineRule="exact"/>
        <w:jc w:val="both"/>
        <w:rPr>
          <w:rFonts w:ascii="Times New Roman" w:hAnsi="Times New Roman"/>
          <w:sz w:val="32"/>
          <w:szCs w:val="32"/>
        </w:rPr>
      </w:pPr>
      <w:r>
        <w:rPr>
          <w:rFonts w:ascii="仿宋_GB2312" w:hAnsi="Times New Roman" w:eastAsia="仿宋_GB2312" w:cs="仿宋_GB2312"/>
          <w:sz w:val="32"/>
          <w:szCs w:val="32"/>
        </w:rPr>
        <w:t> </w:t>
      </w:r>
    </w:p>
    <w:p>
      <w:pPr>
        <w:pStyle w:val="5"/>
        <w:widowControl/>
        <w:spacing w:beforeAutospacing="0" w:afterAutospacing="0" w:line="560" w:lineRule="exact"/>
        <w:ind w:firstLine="645"/>
        <w:jc w:val="both"/>
        <w:rPr>
          <w:rFonts w:ascii="Times New Roman" w:hAnsi="Times New Roman"/>
          <w:sz w:val="32"/>
          <w:szCs w:val="32"/>
        </w:rPr>
      </w:pPr>
      <w:r>
        <w:rPr>
          <w:rFonts w:ascii="仿宋_GB2312" w:hAnsi="Times New Roman" w:eastAsia="仿宋_GB2312" w:cs="仿宋_GB2312"/>
          <w:sz w:val="32"/>
          <w:szCs w:val="32"/>
        </w:rPr>
        <w:t>附件：1.</w:t>
      </w:r>
      <w:r>
        <w:rPr>
          <w:rFonts w:hint="eastAsia" w:ascii="仿宋_GB2312" w:hAnsi="Times New Roman" w:eastAsia="仿宋_GB2312" w:cs="仿宋_GB2312"/>
          <w:sz w:val="32"/>
          <w:szCs w:val="32"/>
        </w:rPr>
        <w:t>鄂州</w:t>
      </w:r>
      <w:r>
        <w:rPr>
          <w:rFonts w:ascii="仿宋_GB2312" w:hAnsi="Times New Roman" w:eastAsia="仿宋_GB2312" w:cs="仿宋_GB2312"/>
          <w:sz w:val="32"/>
          <w:szCs w:val="32"/>
        </w:rPr>
        <w:t>市级“两病”门诊用药保障和健康管理工作</w:t>
      </w:r>
    </w:p>
    <w:p>
      <w:pPr>
        <w:pStyle w:val="5"/>
        <w:widowControl/>
        <w:spacing w:beforeAutospacing="0" w:afterAutospacing="0" w:line="560" w:lineRule="exact"/>
        <w:ind w:firstLine="1920"/>
        <w:jc w:val="both"/>
        <w:rPr>
          <w:rFonts w:ascii="仿宋_GB2312" w:hAnsi="Times New Roman" w:eastAsia="仿宋_GB2312" w:cs="仿宋_GB2312"/>
          <w:sz w:val="32"/>
          <w:szCs w:val="32"/>
        </w:rPr>
      </w:pPr>
      <w:r>
        <w:rPr>
          <w:rFonts w:ascii="仿宋_GB2312" w:hAnsi="Times New Roman" w:eastAsia="仿宋_GB2312" w:cs="仿宋_GB2312"/>
          <w:sz w:val="32"/>
          <w:szCs w:val="32"/>
        </w:rPr>
        <w:t>协调</w:t>
      </w:r>
      <w:r>
        <w:rPr>
          <w:rFonts w:hint="eastAsia" w:ascii="仿宋_GB2312" w:hAnsi="Times New Roman" w:eastAsia="仿宋_GB2312" w:cs="仿宋_GB2312"/>
          <w:sz w:val="32"/>
          <w:szCs w:val="32"/>
        </w:rPr>
        <w:t>小组</w:t>
      </w:r>
    </w:p>
    <w:p>
      <w:pPr>
        <w:pStyle w:val="3"/>
        <w:rPr>
          <w:rFonts w:eastAsia="仿宋_GB2312"/>
        </w:rPr>
      </w:pPr>
      <w:r>
        <w:rPr>
          <w:rFonts w:hint="eastAsia" w:ascii="仿宋_GB2312" w:hAnsi="Times New Roman" w:eastAsia="仿宋_GB2312" w:cs="仿宋_GB2312"/>
          <w:sz w:val="32"/>
          <w:szCs w:val="32"/>
        </w:rPr>
        <w:t>2.</w:t>
      </w:r>
      <w:r>
        <w:rPr>
          <w:rFonts w:hint="eastAsia" w:ascii="仿宋" w:hAnsi="仿宋" w:eastAsia="仿宋" w:cs="仿宋"/>
          <w:sz w:val="32"/>
          <w:szCs w:val="32"/>
        </w:rPr>
        <w:t>鄂州市参保人员“两病”</w:t>
      </w:r>
      <w:r>
        <w:rPr>
          <w:rFonts w:ascii="仿宋_GB2312" w:hAnsi="Times New Roman" w:eastAsia="仿宋_GB2312" w:cs="仿宋_GB2312"/>
          <w:sz w:val="32"/>
          <w:szCs w:val="32"/>
        </w:rPr>
        <w:t>门诊用药保障</w:t>
      </w:r>
      <w:r>
        <w:rPr>
          <w:rFonts w:hint="eastAsia" w:ascii="仿宋_GB2312" w:hAnsi="Times New Roman" w:eastAsia="仿宋_GB2312" w:cs="仿宋_GB2312"/>
          <w:sz w:val="32"/>
          <w:szCs w:val="32"/>
        </w:rPr>
        <w:t>审定表</w:t>
      </w:r>
    </w:p>
    <w:p>
      <w:pPr>
        <w:pStyle w:val="5"/>
        <w:widowControl/>
        <w:spacing w:beforeAutospacing="0" w:afterAutospacing="0" w:line="560" w:lineRule="exact"/>
        <w:ind w:firstLine="1605"/>
        <w:jc w:val="both"/>
        <w:rPr>
          <w:rFonts w:ascii="Times New Roman" w:hAnsi="Times New Roman"/>
          <w:sz w:val="32"/>
          <w:szCs w:val="32"/>
        </w:rPr>
      </w:pPr>
      <w:r>
        <w:rPr>
          <w:rFonts w:hint="eastAsia" w:ascii="仿宋_GB2312" w:hAnsi="Times New Roman" w:eastAsia="仿宋_GB2312" w:cs="仿宋_GB2312"/>
          <w:sz w:val="32"/>
          <w:szCs w:val="32"/>
        </w:rPr>
        <w:t>3</w:t>
      </w:r>
      <w:r>
        <w:rPr>
          <w:rFonts w:ascii="仿宋_GB2312" w:hAnsi="Times New Roman" w:eastAsia="仿宋_GB2312" w:cs="仿宋_GB2312"/>
          <w:sz w:val="32"/>
          <w:szCs w:val="32"/>
        </w:rPr>
        <w:t>.慢性病用药连续（外配）处方</w:t>
      </w:r>
    </w:p>
    <w:p>
      <w:pPr>
        <w:pStyle w:val="5"/>
        <w:widowControl/>
        <w:spacing w:beforeAutospacing="0" w:afterAutospacing="0" w:line="560" w:lineRule="exact"/>
        <w:ind w:firstLine="645"/>
        <w:jc w:val="both"/>
        <w:rPr>
          <w:rFonts w:ascii="仿宋_GB2312" w:hAnsi="Times New Roman" w:eastAsia="仿宋_GB2312" w:cs="仿宋_GB2312"/>
          <w:sz w:val="32"/>
          <w:szCs w:val="32"/>
        </w:rPr>
      </w:pPr>
      <w:r>
        <w:rPr>
          <w:rFonts w:ascii="仿宋_GB2312" w:hAnsi="Times New Roman" w:eastAsia="仿宋_GB2312" w:cs="仿宋_GB2312"/>
          <w:sz w:val="32"/>
          <w:szCs w:val="32"/>
        </w:rPr>
        <w:t>    </w:t>
      </w:r>
      <w:r>
        <w:rPr>
          <w:rFonts w:hint="eastAsia" w:ascii="仿宋_GB2312" w:hAnsi="Times New Roman" w:eastAsia="仿宋_GB2312" w:cs="仿宋_GB2312"/>
          <w:sz w:val="32"/>
          <w:szCs w:val="32"/>
        </w:rPr>
        <w:t xml:space="preserve">   </w:t>
      </w:r>
      <w:r>
        <w:rPr>
          <w:rFonts w:ascii="仿宋_GB2312" w:hAnsi="Times New Roman" w:eastAsia="仿宋_GB2312" w:cs="仿宋_GB2312"/>
          <w:sz w:val="32"/>
          <w:szCs w:val="32"/>
        </w:rPr>
        <w:t>  </w:t>
      </w:r>
      <w:r>
        <w:rPr>
          <w:rFonts w:hint="eastAsia" w:ascii="仿宋_GB2312" w:hAnsi="Times New Roman" w:eastAsia="仿宋_GB2312" w:cs="仿宋_GB2312"/>
          <w:sz w:val="32"/>
          <w:szCs w:val="32"/>
        </w:rPr>
        <w:t>4</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鄂州</w:t>
      </w:r>
      <w:r>
        <w:rPr>
          <w:rFonts w:ascii="仿宋_GB2312" w:hAnsi="Times New Roman" w:eastAsia="仿宋_GB2312" w:cs="仿宋_GB2312"/>
          <w:sz w:val="32"/>
          <w:szCs w:val="32"/>
        </w:rPr>
        <w:t>市</w:t>
      </w:r>
      <w:r>
        <w:rPr>
          <w:rFonts w:hint="eastAsia" w:ascii="仿宋_GB2312" w:hAnsi="Times New Roman" w:eastAsia="仿宋_GB2312" w:cs="仿宋_GB2312"/>
          <w:sz w:val="32"/>
          <w:szCs w:val="32"/>
        </w:rPr>
        <w:t>城乡</w:t>
      </w:r>
      <w:r>
        <w:rPr>
          <w:rFonts w:ascii="仿宋_GB2312" w:hAnsi="Times New Roman" w:eastAsia="仿宋_GB2312" w:cs="仿宋_GB2312"/>
          <w:sz w:val="32"/>
          <w:szCs w:val="32"/>
        </w:rPr>
        <w:t>居民医保“两病”门诊用药保障和健</w:t>
      </w:r>
    </w:p>
    <w:p>
      <w:pPr>
        <w:pStyle w:val="5"/>
        <w:widowControl/>
        <w:spacing w:beforeAutospacing="0" w:afterAutospacing="0" w:line="560" w:lineRule="exact"/>
        <w:ind w:firstLine="1942" w:firstLineChars="607"/>
        <w:jc w:val="both"/>
        <w:rPr>
          <w:rFonts w:ascii="Times New Roman" w:hAnsi="Times New Roman"/>
          <w:sz w:val="32"/>
          <w:szCs w:val="32"/>
        </w:rPr>
      </w:pPr>
      <w:r>
        <w:rPr>
          <w:rFonts w:ascii="仿宋_GB2312" w:hAnsi="Times New Roman" w:eastAsia="仿宋_GB2312" w:cs="仿宋_GB2312"/>
          <w:sz w:val="32"/>
          <w:szCs w:val="32"/>
        </w:rPr>
        <w:t>康管理示范城市活动</w:t>
      </w:r>
      <w:r>
        <w:rPr>
          <w:rFonts w:hint="eastAsia" w:ascii="仿宋_GB2312" w:hAnsi="Times New Roman" w:eastAsia="仿宋_GB2312" w:cs="仿宋_GB2312"/>
          <w:sz w:val="32"/>
          <w:szCs w:val="32"/>
        </w:rPr>
        <w:t>月</w:t>
      </w:r>
      <w:r>
        <w:rPr>
          <w:rFonts w:ascii="仿宋_GB2312" w:hAnsi="Times New Roman" w:eastAsia="仿宋_GB2312" w:cs="仿宋_GB2312"/>
          <w:sz w:val="32"/>
          <w:szCs w:val="32"/>
        </w:rPr>
        <w:t>报表</w:t>
      </w:r>
    </w:p>
    <w:p>
      <w:pPr>
        <w:pStyle w:val="5"/>
        <w:widowControl/>
        <w:spacing w:beforeAutospacing="0" w:afterAutospacing="0" w:line="560" w:lineRule="exact"/>
        <w:ind w:left="1605"/>
        <w:jc w:val="both"/>
        <w:rPr>
          <w:rFonts w:ascii="仿宋_GB2312" w:hAnsi="Times New Roman" w:eastAsia="仿宋_GB2312" w:cs="仿宋_GB2312"/>
          <w:sz w:val="32"/>
          <w:szCs w:val="32"/>
        </w:rPr>
      </w:pPr>
      <w:r>
        <w:rPr>
          <w:rFonts w:hint="eastAsia" w:ascii="仿宋_GB2312" w:hAnsi="Times New Roman" w:eastAsia="仿宋_GB2312" w:cs="仿宋_GB2312"/>
          <w:sz w:val="32"/>
          <w:szCs w:val="32"/>
        </w:rPr>
        <w:t>5.鄂州</w:t>
      </w:r>
      <w:r>
        <w:rPr>
          <w:rFonts w:ascii="仿宋_GB2312" w:hAnsi="Times New Roman" w:eastAsia="仿宋_GB2312" w:cs="仿宋_GB2312"/>
          <w:sz w:val="32"/>
          <w:szCs w:val="32"/>
        </w:rPr>
        <w:t>市</w:t>
      </w:r>
      <w:r>
        <w:rPr>
          <w:rFonts w:hint="eastAsia" w:ascii="仿宋_GB2312" w:hAnsi="Times New Roman" w:eastAsia="仿宋_GB2312" w:cs="仿宋_GB2312"/>
          <w:sz w:val="32"/>
          <w:szCs w:val="32"/>
        </w:rPr>
        <w:t>城镇</w:t>
      </w:r>
      <w:r>
        <w:rPr>
          <w:rFonts w:ascii="仿宋_GB2312" w:hAnsi="Times New Roman" w:eastAsia="仿宋_GB2312" w:cs="仿宋_GB2312"/>
          <w:sz w:val="32"/>
          <w:szCs w:val="32"/>
        </w:rPr>
        <w:t>职工医保“两病”门诊用药保障和健</w:t>
      </w:r>
    </w:p>
    <w:p>
      <w:pPr>
        <w:pStyle w:val="5"/>
        <w:widowControl/>
        <w:spacing w:beforeAutospacing="0" w:afterAutospacing="0" w:line="560" w:lineRule="exact"/>
        <w:ind w:firstLine="1920" w:firstLineChars="600"/>
        <w:jc w:val="both"/>
        <w:rPr>
          <w:rFonts w:ascii="仿宋_GB2312" w:hAnsi="Times New Roman" w:eastAsia="仿宋_GB2312" w:cs="仿宋_GB2312"/>
          <w:sz w:val="32"/>
          <w:szCs w:val="32"/>
        </w:rPr>
      </w:pPr>
      <w:r>
        <w:rPr>
          <w:rFonts w:ascii="仿宋_GB2312" w:hAnsi="Times New Roman" w:eastAsia="仿宋_GB2312" w:cs="仿宋_GB2312"/>
          <w:sz w:val="32"/>
          <w:szCs w:val="32"/>
        </w:rPr>
        <w:t>康管理示范城市活动</w:t>
      </w:r>
      <w:r>
        <w:rPr>
          <w:rFonts w:hint="eastAsia" w:ascii="仿宋_GB2312" w:hAnsi="Times New Roman" w:eastAsia="仿宋_GB2312" w:cs="仿宋_GB2312"/>
          <w:sz w:val="32"/>
          <w:szCs w:val="32"/>
        </w:rPr>
        <w:t>月</w:t>
      </w:r>
      <w:r>
        <w:rPr>
          <w:rFonts w:ascii="仿宋_GB2312" w:hAnsi="Times New Roman" w:eastAsia="仿宋_GB2312" w:cs="仿宋_GB2312"/>
          <w:sz w:val="32"/>
          <w:szCs w:val="32"/>
        </w:rPr>
        <w:t>报表</w:t>
      </w:r>
    </w:p>
    <w:p>
      <w:pPr>
        <w:pStyle w:val="5"/>
        <w:widowControl/>
        <w:spacing w:beforeAutospacing="0" w:afterAutospacing="0" w:line="560" w:lineRule="exact"/>
        <w:ind w:firstLine="1600" w:firstLineChars="500"/>
        <w:jc w:val="both"/>
        <w:rPr>
          <w:rFonts w:ascii="仿宋" w:hAnsi="仿宋" w:eastAsia="仿宋" w:cs="仿宋"/>
          <w:sz w:val="32"/>
          <w:szCs w:val="32"/>
        </w:rPr>
      </w:pPr>
      <w:r>
        <w:rPr>
          <w:rFonts w:hint="eastAsia" w:ascii="仿宋" w:hAnsi="仿宋" w:eastAsia="仿宋" w:cs="仿宋"/>
          <w:sz w:val="32"/>
          <w:szCs w:val="32"/>
        </w:rPr>
        <w:t>6.鄂州市城镇职工补充医保“两病”门诊用药保</w:t>
      </w:r>
    </w:p>
    <w:p>
      <w:pPr>
        <w:pStyle w:val="5"/>
        <w:widowControl/>
        <w:spacing w:beforeAutospacing="0" w:afterAutospacing="0" w:line="560" w:lineRule="exact"/>
        <w:ind w:firstLine="2240" w:firstLineChars="700"/>
        <w:jc w:val="both"/>
        <w:rPr>
          <w:rFonts w:ascii="仿宋" w:hAnsi="仿宋" w:eastAsia="仿宋" w:cs="仿宋"/>
          <w:sz w:val="32"/>
          <w:szCs w:val="32"/>
        </w:rPr>
      </w:pPr>
      <w:r>
        <w:rPr>
          <w:rFonts w:hint="eastAsia" w:ascii="仿宋" w:hAnsi="仿宋" w:eastAsia="仿宋" w:cs="仿宋"/>
          <w:sz w:val="32"/>
          <w:szCs w:val="32"/>
        </w:rPr>
        <w:t>障和健康管理示范城市活动月报表</w:t>
      </w:r>
    </w:p>
    <w:p>
      <w:pPr>
        <w:rPr>
          <w:rFonts w:ascii="仿宋" w:hAnsi="仿宋" w:eastAsia="仿宋" w:cs="仿宋"/>
          <w:sz w:val="32"/>
          <w:szCs w:val="32"/>
        </w:rPr>
      </w:pPr>
      <w:r>
        <w:rPr>
          <w:rFonts w:hint="eastAsia" w:ascii="仿宋" w:hAnsi="仿宋" w:eastAsia="仿宋" w:cs="仿宋"/>
          <w:sz w:val="32"/>
          <w:szCs w:val="32"/>
        </w:rPr>
        <w:t xml:space="preserve">          7.鄂州市参保人员“两病”情况统计表</w:t>
      </w:r>
    </w:p>
    <w:p>
      <w:pPr>
        <w:pStyle w:val="5"/>
        <w:widowControl/>
        <w:spacing w:beforeAutospacing="0" w:afterAutospacing="0" w:line="560" w:lineRule="exact"/>
        <w:jc w:val="both"/>
        <w:rPr>
          <w:rFonts w:ascii="仿宋" w:hAnsi="仿宋" w:eastAsia="仿宋" w:cs="仿宋"/>
          <w:sz w:val="32"/>
          <w:szCs w:val="32"/>
        </w:rPr>
      </w:pPr>
    </w:p>
    <w:p>
      <w:pPr>
        <w:pStyle w:val="5"/>
        <w:widowControl/>
        <w:spacing w:beforeAutospacing="0" w:afterAutospacing="0" w:line="555" w:lineRule="atLeast"/>
        <w:ind w:firstLine="1860" w:firstLineChars="600"/>
        <w:jc w:val="both"/>
        <w:rPr>
          <w:rFonts w:ascii="仿宋_GB2312" w:hAnsi="Times New Roman" w:eastAsia="仿宋_GB2312" w:cs="仿宋_GB2312"/>
          <w:sz w:val="31"/>
          <w:szCs w:val="31"/>
        </w:rPr>
      </w:pPr>
    </w:p>
    <w:p>
      <w:pPr>
        <w:pStyle w:val="5"/>
        <w:widowControl/>
        <w:spacing w:beforeAutospacing="0" w:afterAutospacing="0" w:line="555" w:lineRule="atLeast"/>
        <w:jc w:val="both"/>
        <w:rPr>
          <w:rFonts w:ascii="Times New Roman" w:hAnsi="Times New Roman"/>
          <w:sz w:val="21"/>
          <w:szCs w:val="21"/>
        </w:rPr>
      </w:pPr>
      <w:r>
        <w:rPr>
          <w:rFonts w:ascii="仿宋_GB2312" w:hAnsi="Times New Roman" w:eastAsia="仿宋_GB2312" w:cs="仿宋_GB2312"/>
          <w:sz w:val="31"/>
          <w:szCs w:val="31"/>
        </w:rPr>
        <w:t> </w:t>
      </w:r>
    </w:p>
    <w:p>
      <w:pPr>
        <w:pStyle w:val="5"/>
        <w:widowControl/>
        <w:spacing w:beforeAutospacing="0" w:afterAutospacing="0" w:line="555" w:lineRule="atLeast"/>
        <w:jc w:val="both"/>
        <w:rPr>
          <w:rFonts w:ascii="Times New Roman" w:hAnsi="Times New Roman"/>
          <w:sz w:val="21"/>
          <w:szCs w:val="21"/>
        </w:rPr>
      </w:pPr>
      <w:r>
        <w:rPr>
          <w:rFonts w:ascii="仿宋_GB2312" w:hAnsi="Times New Roman" w:eastAsia="仿宋_GB2312" w:cs="仿宋_GB2312"/>
          <w:sz w:val="31"/>
          <w:szCs w:val="31"/>
        </w:rPr>
        <w:t> </w:t>
      </w:r>
    </w:p>
    <w:p>
      <w:pPr>
        <w:pStyle w:val="5"/>
        <w:widowControl/>
        <w:spacing w:beforeAutospacing="0" w:afterAutospacing="0" w:line="555" w:lineRule="atLeast"/>
        <w:jc w:val="both"/>
        <w:rPr>
          <w:rFonts w:ascii="仿宋_GB2312" w:hAnsi="Times New Roman" w:eastAsia="仿宋_GB2312" w:cs="仿宋_GB2312"/>
          <w:sz w:val="31"/>
          <w:szCs w:val="31"/>
        </w:rPr>
      </w:pPr>
      <w:r>
        <w:rPr>
          <w:rFonts w:ascii="仿宋_GB2312" w:hAnsi="Times New Roman" w:eastAsia="仿宋_GB2312" w:cs="仿宋_GB2312"/>
          <w:sz w:val="31"/>
          <w:szCs w:val="31"/>
        </w:rPr>
        <w:t> </w:t>
      </w:r>
    </w:p>
    <w:p>
      <w:pPr>
        <w:pStyle w:val="5"/>
        <w:widowControl/>
        <w:spacing w:beforeAutospacing="0" w:afterAutospacing="0" w:line="555" w:lineRule="atLeast"/>
        <w:jc w:val="both"/>
        <w:rPr>
          <w:rFonts w:ascii="仿宋" w:hAnsi="仿宋" w:eastAsia="仿宋" w:cs="仿宋"/>
          <w:sz w:val="21"/>
          <w:szCs w:val="21"/>
        </w:rPr>
      </w:pPr>
      <w:r>
        <w:rPr>
          <w:rFonts w:hint="eastAsia" w:ascii="仿宋" w:hAnsi="仿宋" w:eastAsia="仿宋" w:cs="仿宋"/>
          <w:sz w:val="31"/>
          <w:szCs w:val="31"/>
        </w:rPr>
        <w:t>附件1</w:t>
      </w:r>
    </w:p>
    <w:p>
      <w:pPr>
        <w:pStyle w:val="5"/>
        <w:widowControl/>
        <w:spacing w:beforeAutospacing="0" w:afterAutospacing="0" w:line="555" w:lineRule="atLeast"/>
        <w:jc w:val="both"/>
        <w:rPr>
          <w:rFonts w:asciiTheme="majorEastAsia" w:hAnsiTheme="majorEastAsia" w:eastAsiaTheme="majorEastAsia" w:cstheme="majorEastAsia"/>
          <w:b/>
          <w:bCs/>
          <w:sz w:val="44"/>
          <w:szCs w:val="44"/>
        </w:rPr>
      </w:pPr>
      <w:r>
        <w:rPr>
          <w:rFonts w:ascii="仿宋_GB2312" w:hAnsi="Times New Roman" w:eastAsia="仿宋_GB2312" w:cs="仿宋_GB2312"/>
          <w:sz w:val="31"/>
          <w:szCs w:val="31"/>
        </w:rPr>
        <w:t> </w:t>
      </w:r>
      <w:r>
        <w:rPr>
          <w:rFonts w:hint="eastAsia" w:asciiTheme="majorEastAsia" w:hAnsiTheme="majorEastAsia" w:eastAsiaTheme="majorEastAsia" w:cstheme="majorEastAsia"/>
          <w:b/>
          <w:bCs/>
          <w:sz w:val="44"/>
          <w:szCs w:val="44"/>
        </w:rPr>
        <w:t>鄂州市“两病”门诊用药保障和健康管理</w:t>
      </w:r>
    </w:p>
    <w:p>
      <w:pPr>
        <w:pStyle w:val="5"/>
        <w:widowControl/>
        <w:spacing w:beforeAutospacing="0" w:afterAutospacing="0" w:line="600" w:lineRule="atLeast"/>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工作协调小组</w:t>
      </w:r>
    </w:p>
    <w:p>
      <w:pPr>
        <w:pStyle w:val="5"/>
        <w:widowControl/>
        <w:spacing w:beforeAutospacing="0" w:afterAutospacing="0" w:line="555" w:lineRule="atLeast"/>
        <w:jc w:val="both"/>
        <w:rPr>
          <w:rFonts w:ascii="Times New Roman" w:hAnsi="Times New Roman"/>
          <w:sz w:val="21"/>
          <w:szCs w:val="21"/>
        </w:rPr>
      </w:pPr>
      <w:r>
        <w:rPr>
          <w:rFonts w:ascii="仿宋_GB2312" w:hAnsi="Times New Roman" w:eastAsia="仿宋_GB2312" w:cs="仿宋_GB2312"/>
          <w:sz w:val="31"/>
          <w:szCs w:val="31"/>
        </w:rPr>
        <w:t> </w:t>
      </w:r>
    </w:p>
    <w:p>
      <w:pPr>
        <w:pStyle w:val="2"/>
        <w:spacing w:line="500" w:lineRule="exact"/>
        <w:ind w:firstLine="640" w:firstLineChars="200"/>
        <w:rPr>
          <w:rFonts w:ascii="仿宋" w:hAnsi="仿宋" w:eastAsia="仿宋" w:cs="仿宋"/>
          <w:b w:val="0"/>
          <w:bCs w:val="0"/>
        </w:rPr>
      </w:pPr>
      <w:r>
        <w:rPr>
          <w:rFonts w:hint="eastAsia" w:ascii="仿宋" w:hAnsi="仿宋" w:eastAsia="仿宋" w:cs="仿宋"/>
          <w:b w:val="0"/>
          <w:bCs w:val="0"/>
        </w:rPr>
        <w:t>组      长：陈汉玲    市医保局党组书记</w:t>
      </w:r>
    </w:p>
    <w:p>
      <w:pPr>
        <w:pStyle w:val="2"/>
        <w:spacing w:line="500" w:lineRule="exact"/>
        <w:ind w:firstLine="640" w:firstLineChars="200"/>
        <w:rPr>
          <w:rFonts w:ascii="仿宋" w:hAnsi="仿宋" w:eastAsia="仿宋" w:cs="仿宋"/>
          <w:b w:val="0"/>
          <w:bCs w:val="0"/>
        </w:rPr>
      </w:pPr>
      <w:r>
        <w:rPr>
          <w:rFonts w:hint="eastAsia" w:ascii="仿宋" w:hAnsi="仿宋" w:eastAsia="仿宋" w:cs="仿宋"/>
          <w:b w:val="0"/>
          <w:bCs w:val="0"/>
        </w:rPr>
        <w:t>第一副组长：余子悦    市政协副主席、市医保局局长</w:t>
      </w:r>
    </w:p>
    <w:p>
      <w:pPr>
        <w:pStyle w:val="2"/>
        <w:spacing w:line="500" w:lineRule="exact"/>
        <w:ind w:firstLine="640" w:firstLineChars="200"/>
        <w:rPr>
          <w:rFonts w:ascii="仿宋" w:hAnsi="仿宋" w:eastAsia="仿宋" w:cs="仿宋"/>
          <w:b w:val="0"/>
          <w:bCs w:val="0"/>
        </w:rPr>
      </w:pPr>
      <w:r>
        <w:rPr>
          <w:rFonts w:hint="eastAsia" w:ascii="仿宋" w:hAnsi="仿宋" w:eastAsia="仿宋" w:cs="仿宋"/>
          <w:b w:val="0"/>
          <w:bCs w:val="0"/>
        </w:rPr>
        <w:t>副  组  长：梅洪升    市医保局二级调研员</w:t>
      </w:r>
    </w:p>
    <w:p>
      <w:pPr>
        <w:pStyle w:val="2"/>
        <w:spacing w:line="500" w:lineRule="exact"/>
        <w:ind w:firstLine="2560" w:firstLineChars="800"/>
        <w:rPr>
          <w:rFonts w:ascii="仿宋" w:hAnsi="仿宋" w:eastAsia="仿宋" w:cs="仿宋"/>
          <w:b w:val="0"/>
          <w:bCs w:val="0"/>
        </w:rPr>
      </w:pPr>
      <w:r>
        <w:rPr>
          <w:rFonts w:hint="eastAsia" w:ascii="仿宋" w:hAnsi="仿宋" w:eastAsia="仿宋" w:cs="仿宋"/>
          <w:b w:val="0"/>
          <w:bCs w:val="0"/>
        </w:rPr>
        <w:t>郭  勇    市医保服务中心主任</w:t>
      </w:r>
    </w:p>
    <w:p>
      <w:pPr>
        <w:pStyle w:val="2"/>
        <w:spacing w:line="500" w:lineRule="exact"/>
        <w:ind w:firstLine="2560" w:firstLineChars="800"/>
        <w:rPr>
          <w:rFonts w:ascii="仿宋" w:hAnsi="仿宋" w:eastAsia="仿宋" w:cs="仿宋"/>
          <w:b w:val="0"/>
          <w:bCs w:val="0"/>
        </w:rPr>
      </w:pPr>
      <w:r>
        <w:rPr>
          <w:rFonts w:hint="eastAsia" w:ascii="仿宋" w:hAnsi="仿宋" w:eastAsia="仿宋" w:cs="仿宋"/>
          <w:b w:val="0"/>
          <w:bCs w:val="0"/>
        </w:rPr>
        <w:t>陈华侨    市卫健委党组成员、副主任</w:t>
      </w:r>
    </w:p>
    <w:p>
      <w:pPr>
        <w:pStyle w:val="2"/>
        <w:spacing w:line="500" w:lineRule="exact"/>
        <w:ind w:firstLine="2560" w:firstLineChars="800"/>
        <w:rPr>
          <w:rFonts w:ascii="黑体" w:hAnsi="黑体" w:eastAsia="黑体" w:cs="黑体"/>
          <w:color w:val="000000"/>
        </w:rPr>
      </w:pPr>
      <w:r>
        <w:rPr>
          <w:rFonts w:hint="eastAsia" w:ascii="仿宋" w:hAnsi="仿宋" w:eastAsia="仿宋" w:cs="仿宋"/>
          <w:b w:val="0"/>
          <w:bCs w:val="0"/>
        </w:rPr>
        <w:t>高小威    市卫健委党组成员、副主任</w:t>
      </w:r>
    </w:p>
    <w:p>
      <w:pPr>
        <w:pBdr>
          <w:bottom w:val="single" w:color="FFFFFF" w:sz="4" w:space="31"/>
        </w:pBdr>
        <w:tabs>
          <w:tab w:val="left" w:pos="2266"/>
        </w:tabs>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领导小组下设办公室，办公室主任梅洪升、副主任郭勇</w:t>
      </w:r>
    </w:p>
    <w:p>
      <w:pPr>
        <w:pBdr>
          <w:bottom w:val="single" w:color="FFFFFF" w:sz="4" w:space="31"/>
        </w:pBdr>
        <w:tabs>
          <w:tab w:val="left" w:pos="2266"/>
        </w:tabs>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成      员：汪  弋    市医保局法规科负责人</w:t>
      </w:r>
    </w:p>
    <w:p>
      <w:pPr>
        <w:pBdr>
          <w:bottom w:val="single" w:color="FFFFFF" w:sz="4" w:space="31"/>
        </w:pBdr>
        <w:tabs>
          <w:tab w:val="left" w:pos="2266"/>
        </w:tabs>
        <w:snapToGrid w:val="0"/>
        <w:spacing w:line="500" w:lineRule="exact"/>
        <w:ind w:firstLine="2560" w:firstLineChars="800"/>
        <w:rPr>
          <w:rFonts w:ascii="仿宋" w:hAnsi="仿宋" w:eastAsia="仿宋" w:cs="仿宋"/>
          <w:sz w:val="32"/>
          <w:szCs w:val="32"/>
        </w:rPr>
      </w:pPr>
      <w:r>
        <w:rPr>
          <w:rFonts w:hint="eastAsia" w:ascii="仿宋" w:hAnsi="仿宋" w:eastAsia="仿宋" w:cs="仿宋"/>
          <w:sz w:val="32"/>
          <w:szCs w:val="32"/>
        </w:rPr>
        <w:t>张志奇    市医保局待遇保障科负责人</w:t>
      </w:r>
    </w:p>
    <w:p>
      <w:pPr>
        <w:pBdr>
          <w:bottom w:val="single" w:color="FFFFFF" w:sz="4" w:space="31"/>
        </w:pBdr>
        <w:tabs>
          <w:tab w:val="left" w:pos="2266"/>
        </w:tabs>
        <w:snapToGrid w:val="0"/>
        <w:spacing w:line="500" w:lineRule="exact"/>
        <w:ind w:firstLine="2560" w:firstLineChars="800"/>
        <w:rPr>
          <w:rFonts w:ascii="仿宋" w:hAnsi="仿宋" w:eastAsia="仿宋" w:cs="仿宋"/>
          <w:sz w:val="32"/>
          <w:szCs w:val="32"/>
        </w:rPr>
      </w:pPr>
      <w:r>
        <w:rPr>
          <w:rFonts w:hint="eastAsia" w:ascii="仿宋" w:hAnsi="仿宋" w:eastAsia="仿宋" w:cs="仿宋"/>
          <w:sz w:val="32"/>
          <w:szCs w:val="32"/>
        </w:rPr>
        <w:t>陈红娟    市医保局招采科负责人</w:t>
      </w:r>
    </w:p>
    <w:p>
      <w:pPr>
        <w:pBdr>
          <w:bottom w:val="single" w:color="FFFFFF" w:sz="4" w:space="31"/>
        </w:pBdr>
        <w:tabs>
          <w:tab w:val="left" w:pos="2266"/>
        </w:tabs>
        <w:snapToGrid w:val="0"/>
        <w:spacing w:line="500" w:lineRule="exact"/>
        <w:ind w:firstLine="2560" w:firstLineChars="800"/>
        <w:rPr>
          <w:rFonts w:ascii="仿宋" w:hAnsi="仿宋" w:eastAsia="仿宋" w:cs="仿宋"/>
          <w:sz w:val="32"/>
          <w:szCs w:val="32"/>
        </w:rPr>
      </w:pPr>
      <w:r>
        <w:rPr>
          <w:rFonts w:hint="eastAsia" w:ascii="仿宋" w:hAnsi="仿宋" w:eastAsia="仿宋" w:cs="仿宋"/>
          <w:sz w:val="32"/>
          <w:szCs w:val="32"/>
        </w:rPr>
        <w:t>许歆培    市医保局规财和法规科干部</w:t>
      </w:r>
    </w:p>
    <w:p>
      <w:pPr>
        <w:pBdr>
          <w:bottom w:val="single" w:color="FFFFFF" w:sz="4" w:space="31"/>
        </w:pBdr>
        <w:tabs>
          <w:tab w:val="left" w:pos="2266"/>
        </w:tabs>
        <w:snapToGrid w:val="0"/>
        <w:spacing w:line="500" w:lineRule="exact"/>
        <w:ind w:firstLine="2560" w:firstLineChars="800"/>
        <w:rPr>
          <w:rFonts w:ascii="仿宋" w:hAnsi="仿宋" w:eastAsia="仿宋" w:cs="仿宋"/>
          <w:sz w:val="32"/>
          <w:szCs w:val="32"/>
        </w:rPr>
      </w:pPr>
      <w:r>
        <w:rPr>
          <w:rFonts w:hint="eastAsia" w:ascii="仿宋" w:hAnsi="仿宋" w:eastAsia="仿宋" w:cs="仿宋"/>
          <w:sz w:val="32"/>
          <w:szCs w:val="32"/>
        </w:rPr>
        <w:t>周  伟    市医保服务中心三级调研员</w:t>
      </w:r>
    </w:p>
    <w:p>
      <w:pPr>
        <w:pBdr>
          <w:bottom w:val="single" w:color="FFFFFF" w:sz="4" w:space="31"/>
        </w:pBdr>
        <w:tabs>
          <w:tab w:val="left" w:pos="2266"/>
        </w:tabs>
        <w:snapToGrid w:val="0"/>
        <w:spacing w:line="500" w:lineRule="exact"/>
        <w:ind w:firstLine="2560" w:firstLineChars="800"/>
        <w:rPr>
          <w:rFonts w:ascii="仿宋" w:hAnsi="仿宋" w:eastAsia="仿宋" w:cs="仿宋"/>
          <w:sz w:val="32"/>
          <w:szCs w:val="32"/>
        </w:rPr>
      </w:pPr>
      <w:r>
        <w:rPr>
          <w:rFonts w:hint="eastAsia" w:ascii="仿宋" w:hAnsi="仿宋" w:eastAsia="仿宋" w:cs="仿宋"/>
          <w:sz w:val="32"/>
          <w:szCs w:val="32"/>
        </w:rPr>
        <w:t>陈克力    市医保服务中心副主任</w:t>
      </w:r>
    </w:p>
    <w:p>
      <w:pPr>
        <w:pBdr>
          <w:bottom w:val="single" w:color="FFFFFF" w:sz="4" w:space="31"/>
        </w:pBdr>
        <w:tabs>
          <w:tab w:val="left" w:pos="2266"/>
        </w:tabs>
        <w:snapToGrid w:val="0"/>
        <w:spacing w:line="500" w:lineRule="exact"/>
        <w:ind w:firstLine="2560" w:firstLineChars="800"/>
        <w:rPr>
          <w:rFonts w:ascii="仿宋" w:hAnsi="仿宋" w:eastAsia="仿宋" w:cs="仿宋"/>
          <w:sz w:val="32"/>
          <w:szCs w:val="32"/>
        </w:rPr>
      </w:pPr>
      <w:r>
        <w:rPr>
          <w:rFonts w:hint="eastAsia" w:ascii="仿宋" w:hAnsi="仿宋" w:eastAsia="仿宋" w:cs="仿宋"/>
          <w:sz w:val="32"/>
          <w:szCs w:val="32"/>
        </w:rPr>
        <w:t>邱亦农    市医保服务中心副主任</w:t>
      </w:r>
    </w:p>
    <w:p>
      <w:pPr>
        <w:pBdr>
          <w:bottom w:val="single" w:color="FFFFFF" w:sz="4" w:space="31"/>
        </w:pBdr>
        <w:tabs>
          <w:tab w:val="left" w:pos="2266"/>
        </w:tabs>
        <w:snapToGrid w:val="0"/>
        <w:spacing w:line="500" w:lineRule="exact"/>
        <w:ind w:firstLine="2560" w:firstLineChars="800"/>
        <w:rPr>
          <w:rFonts w:ascii="仿宋" w:hAnsi="仿宋" w:eastAsia="仿宋" w:cs="仿宋"/>
          <w:sz w:val="32"/>
          <w:szCs w:val="32"/>
        </w:rPr>
      </w:pPr>
      <w:r>
        <w:rPr>
          <w:rFonts w:hint="eastAsia" w:ascii="仿宋" w:hAnsi="仿宋" w:eastAsia="仿宋" w:cs="仿宋"/>
          <w:sz w:val="32"/>
          <w:szCs w:val="32"/>
        </w:rPr>
        <w:t>余晓玲    市医保服务中心门诊负责人</w:t>
      </w:r>
    </w:p>
    <w:p>
      <w:pPr>
        <w:pBdr>
          <w:bottom w:val="single" w:color="FFFFFF" w:sz="4" w:space="31"/>
        </w:pBdr>
        <w:tabs>
          <w:tab w:val="left" w:pos="2266"/>
        </w:tabs>
        <w:snapToGrid w:val="0"/>
        <w:spacing w:line="500" w:lineRule="exact"/>
        <w:ind w:firstLine="2560" w:firstLineChars="800"/>
        <w:rPr>
          <w:rFonts w:ascii="仿宋" w:hAnsi="仿宋" w:eastAsia="仿宋" w:cs="仿宋"/>
          <w:sz w:val="32"/>
          <w:szCs w:val="32"/>
        </w:rPr>
      </w:pPr>
      <w:r>
        <w:rPr>
          <w:rFonts w:hint="eastAsia" w:ascii="仿宋" w:hAnsi="仿宋" w:eastAsia="仿宋" w:cs="仿宋"/>
          <w:sz w:val="32"/>
          <w:szCs w:val="32"/>
        </w:rPr>
        <w:t>邵  朗     市卫健委基妇科科长</w:t>
      </w:r>
    </w:p>
    <w:p>
      <w:pPr>
        <w:pBdr>
          <w:bottom w:val="single" w:color="FFFFFF" w:sz="4" w:space="31"/>
        </w:pBdr>
        <w:tabs>
          <w:tab w:val="left" w:pos="2266"/>
        </w:tabs>
        <w:snapToGrid w:val="0"/>
        <w:spacing w:line="500" w:lineRule="exact"/>
        <w:ind w:firstLine="2560" w:firstLineChars="800"/>
        <w:rPr>
          <w:rFonts w:ascii="仿宋" w:hAnsi="仿宋" w:eastAsia="仿宋" w:cs="仿宋"/>
          <w:sz w:val="32"/>
          <w:szCs w:val="32"/>
        </w:rPr>
      </w:pPr>
      <w:r>
        <w:rPr>
          <w:rFonts w:hint="eastAsia" w:ascii="仿宋" w:hAnsi="仿宋" w:eastAsia="仿宋" w:cs="仿宋"/>
          <w:sz w:val="32"/>
          <w:szCs w:val="32"/>
        </w:rPr>
        <w:t>邹  阳     市卫健委医政科科长</w:t>
      </w:r>
    </w:p>
    <w:p>
      <w:pPr>
        <w:pBdr>
          <w:bottom w:val="single" w:color="FFFFFF" w:sz="4" w:space="31"/>
        </w:pBdr>
        <w:tabs>
          <w:tab w:val="left" w:pos="2266"/>
        </w:tabs>
        <w:snapToGrid w:val="0"/>
        <w:spacing w:line="500" w:lineRule="exact"/>
        <w:ind w:firstLine="2560" w:firstLineChars="800"/>
        <w:rPr>
          <w:rFonts w:ascii="仿宋" w:hAnsi="仿宋" w:eastAsia="仿宋" w:cs="仿宋"/>
          <w:sz w:val="32"/>
          <w:szCs w:val="32"/>
        </w:rPr>
      </w:pPr>
      <w:r>
        <w:rPr>
          <w:rFonts w:hint="eastAsia" w:ascii="仿宋" w:hAnsi="仿宋" w:eastAsia="仿宋" w:cs="仿宋"/>
          <w:sz w:val="32"/>
          <w:szCs w:val="32"/>
        </w:rPr>
        <w:t>朱锦秀     市卫健委医改办主任</w:t>
      </w:r>
    </w:p>
    <w:p>
      <w:pPr>
        <w:pBdr>
          <w:bottom w:val="single" w:color="FFFFFF" w:sz="4" w:space="31"/>
        </w:pBdr>
        <w:tabs>
          <w:tab w:val="left" w:pos="2266"/>
        </w:tabs>
        <w:snapToGrid w:val="0"/>
        <w:spacing w:line="500" w:lineRule="exact"/>
        <w:ind w:firstLine="620" w:firstLineChars="200"/>
        <w:rPr>
          <w:rFonts w:ascii="仿宋_GB2312" w:hAnsi="Times New Roman" w:eastAsia="仿宋_GB2312" w:cs="仿宋_GB2312"/>
          <w:sz w:val="31"/>
          <w:szCs w:val="31"/>
        </w:rPr>
      </w:pPr>
      <w:r>
        <w:rPr>
          <w:rFonts w:ascii="仿宋_GB2312" w:hAnsi="Times New Roman" w:eastAsia="仿宋_GB2312" w:cs="仿宋_GB2312"/>
          <w:sz w:val="31"/>
          <w:szCs w:val="31"/>
        </w:rPr>
        <w:t>市医保局联络员：</w:t>
      </w:r>
      <w:r>
        <w:rPr>
          <w:rFonts w:hint="eastAsia" w:ascii="仿宋_GB2312" w:hAnsi="Times New Roman" w:eastAsia="仿宋_GB2312" w:cs="仿宋_GB2312"/>
          <w:sz w:val="31"/>
          <w:szCs w:val="31"/>
        </w:rPr>
        <w:t>张志奇</w:t>
      </w:r>
      <w:r>
        <w:rPr>
          <w:rFonts w:ascii="仿宋_GB2312" w:hAnsi="Times New Roman" w:eastAsia="仿宋_GB2312" w:cs="仿宋_GB2312"/>
          <w:sz w:val="31"/>
          <w:szCs w:val="31"/>
        </w:rPr>
        <w:t>，电话：0</w:t>
      </w:r>
      <w:r>
        <w:rPr>
          <w:rFonts w:hint="eastAsia" w:ascii="仿宋_GB2312" w:hAnsi="Times New Roman" w:eastAsia="仿宋_GB2312" w:cs="仿宋_GB2312"/>
          <w:sz w:val="31"/>
          <w:szCs w:val="31"/>
        </w:rPr>
        <w:t>27</w:t>
      </w:r>
      <w:r>
        <w:rPr>
          <w:rFonts w:ascii="仿宋_GB2312" w:hAnsi="Times New Roman" w:eastAsia="仿宋_GB2312" w:cs="仿宋_GB2312"/>
          <w:sz w:val="31"/>
          <w:szCs w:val="31"/>
        </w:rPr>
        <w:t>-</w:t>
      </w:r>
      <w:r>
        <w:rPr>
          <w:rFonts w:hint="eastAsia" w:ascii="仿宋_GB2312" w:hAnsi="Times New Roman" w:eastAsia="仿宋_GB2312" w:cs="仿宋_GB2312"/>
          <w:sz w:val="31"/>
          <w:szCs w:val="31"/>
        </w:rPr>
        <w:t>60876682</w:t>
      </w:r>
      <w:r>
        <w:rPr>
          <w:rFonts w:ascii="仿宋_GB2312" w:hAnsi="Times New Roman" w:eastAsia="仿宋_GB2312" w:cs="仿宋_GB2312"/>
          <w:sz w:val="31"/>
          <w:szCs w:val="31"/>
        </w:rPr>
        <w:t>；</w:t>
      </w:r>
    </w:p>
    <w:p>
      <w:pPr>
        <w:pBdr>
          <w:bottom w:val="single" w:color="FFFFFF" w:sz="4" w:space="31"/>
        </w:pBdr>
        <w:tabs>
          <w:tab w:val="left" w:pos="2266"/>
        </w:tabs>
        <w:snapToGrid w:val="0"/>
        <w:spacing w:line="500" w:lineRule="exact"/>
        <w:ind w:firstLine="620" w:firstLineChars="200"/>
        <w:rPr>
          <w:rFonts w:ascii="Times New Roman" w:hAnsi="Times New Roman" w:cs="Times New Roman"/>
          <w:szCs w:val="21"/>
        </w:rPr>
      </w:pPr>
      <w:r>
        <w:rPr>
          <w:rFonts w:ascii="仿宋_GB2312" w:hAnsi="Times New Roman" w:eastAsia="仿宋_GB2312" w:cs="仿宋_GB2312"/>
          <w:sz w:val="31"/>
          <w:szCs w:val="31"/>
        </w:rPr>
        <w:t>市卫健委联络员：</w:t>
      </w:r>
      <w:r>
        <w:rPr>
          <w:rFonts w:hint="eastAsia" w:ascii="仿宋" w:hAnsi="仿宋" w:eastAsia="仿宋" w:cs="仿宋"/>
          <w:sz w:val="32"/>
          <w:szCs w:val="32"/>
        </w:rPr>
        <w:t>邵  朗</w:t>
      </w:r>
      <w:r>
        <w:rPr>
          <w:rFonts w:ascii="仿宋_GB2312" w:hAnsi="Times New Roman" w:eastAsia="仿宋_GB2312" w:cs="仿宋_GB2312"/>
          <w:sz w:val="31"/>
          <w:szCs w:val="31"/>
        </w:rPr>
        <w:t>，电话：</w:t>
      </w:r>
    </w:p>
    <w:tbl>
      <w:tblPr>
        <w:tblStyle w:val="6"/>
        <w:tblW w:w="8820" w:type="dxa"/>
        <w:tblInd w:w="0" w:type="dxa"/>
        <w:tblLayout w:type="fixed"/>
        <w:tblCellMar>
          <w:top w:w="0" w:type="dxa"/>
          <w:left w:w="0" w:type="dxa"/>
          <w:bottom w:w="0" w:type="dxa"/>
          <w:right w:w="0" w:type="dxa"/>
        </w:tblCellMar>
      </w:tblPr>
      <w:tblGrid>
        <w:gridCol w:w="1164"/>
        <w:gridCol w:w="996"/>
        <w:gridCol w:w="631"/>
        <w:gridCol w:w="718"/>
        <w:gridCol w:w="812"/>
        <w:gridCol w:w="806"/>
        <w:gridCol w:w="3436"/>
        <w:gridCol w:w="257"/>
      </w:tblGrid>
      <w:tr>
        <w:tblPrEx>
          <w:tblCellMar>
            <w:top w:w="0" w:type="dxa"/>
            <w:left w:w="0" w:type="dxa"/>
            <w:bottom w:w="0" w:type="dxa"/>
            <w:right w:w="0" w:type="dxa"/>
          </w:tblCellMar>
        </w:tblPrEx>
        <w:trPr>
          <w:trHeight w:val="1541" w:hRule="atLeast"/>
        </w:trPr>
        <w:tc>
          <w:tcPr>
            <w:tcW w:w="8820" w:type="dxa"/>
            <w:gridSpan w:val="8"/>
            <w:tcBorders>
              <w:top w:val="nil"/>
              <w:left w:val="nil"/>
              <w:bottom w:val="nil"/>
              <w:right w:val="nil"/>
            </w:tcBorders>
            <w:shd w:val="clear" w:color="auto" w:fill="auto"/>
            <w:noWrap/>
            <w:tcMar>
              <w:top w:w="15" w:type="dxa"/>
              <w:left w:w="15" w:type="dxa"/>
              <w:right w:w="15" w:type="dxa"/>
            </w:tcMar>
            <w:vAlign w:val="center"/>
          </w:tcPr>
          <w:p>
            <w:pPr>
              <w:spacing w:line="600" w:lineRule="exact"/>
              <w:rPr>
                <w:rFonts w:ascii="仿宋" w:hAnsi="仿宋" w:eastAsia="仿宋" w:cs="仿宋"/>
                <w:color w:val="333333"/>
                <w:kern w:val="0"/>
                <w:sz w:val="32"/>
                <w:szCs w:val="32"/>
                <w:shd w:val="clear" w:color="auto" w:fill="FFFFFF"/>
                <w:lang w:bidi="ar"/>
              </w:rPr>
            </w:pPr>
            <w:r>
              <w:rPr>
                <w:rFonts w:hint="eastAsia" w:ascii="仿宋" w:hAnsi="仿宋" w:eastAsia="仿宋" w:cs="仿宋"/>
                <w:color w:val="333333"/>
                <w:kern w:val="0"/>
                <w:sz w:val="32"/>
                <w:szCs w:val="32"/>
                <w:shd w:val="clear" w:color="auto" w:fill="FFFFFF"/>
                <w:lang w:bidi="ar"/>
              </w:rPr>
              <w:t>附件2</w:t>
            </w:r>
          </w:p>
          <w:p>
            <w:pPr>
              <w:widowControl/>
              <w:jc w:val="center"/>
              <w:textAlignment w:val="center"/>
              <w:rPr>
                <w:rFonts w:ascii="宋体" w:hAnsi="宋体" w:eastAsia="宋体" w:cs="宋体"/>
                <w:b/>
                <w:color w:val="000000"/>
                <w:sz w:val="40"/>
                <w:szCs w:val="40"/>
              </w:rPr>
            </w:pPr>
            <w:r>
              <w:rPr>
                <w:rFonts w:hint="eastAsia" w:ascii="宋体" w:hAnsi="宋体" w:eastAsia="宋体" w:cs="宋体"/>
                <w:b/>
                <w:bCs/>
                <w:kern w:val="0"/>
                <w:sz w:val="44"/>
                <w:szCs w:val="44"/>
              </w:rPr>
              <w:t>鄂州市参保人员“两病”门诊用药保障审定表</w:t>
            </w:r>
          </w:p>
        </w:tc>
      </w:tr>
      <w:tr>
        <w:tblPrEx>
          <w:tblCellMar>
            <w:top w:w="0" w:type="dxa"/>
            <w:left w:w="0" w:type="dxa"/>
            <w:bottom w:w="0" w:type="dxa"/>
            <w:right w:w="0" w:type="dxa"/>
          </w:tblCellMar>
        </w:tblPrEx>
        <w:trPr>
          <w:trHeight w:val="803" w:hRule="atLeast"/>
        </w:trPr>
        <w:tc>
          <w:tcPr>
            <w:tcW w:w="11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姓名</w:t>
            </w:r>
          </w:p>
        </w:tc>
        <w:tc>
          <w:tcPr>
            <w:tcW w:w="996"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　</w:t>
            </w:r>
          </w:p>
        </w:tc>
        <w:tc>
          <w:tcPr>
            <w:tcW w:w="631"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性别</w:t>
            </w:r>
          </w:p>
        </w:tc>
        <w:tc>
          <w:tcPr>
            <w:tcW w:w="718"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　</w:t>
            </w:r>
          </w:p>
        </w:tc>
        <w:tc>
          <w:tcPr>
            <w:tcW w:w="812"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年龄</w:t>
            </w:r>
          </w:p>
        </w:tc>
        <w:tc>
          <w:tcPr>
            <w:tcW w:w="806"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　</w:t>
            </w:r>
          </w:p>
        </w:tc>
        <w:tc>
          <w:tcPr>
            <w:tcW w:w="3693" w:type="dxa"/>
            <w:gridSpan w:val="2"/>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身份证号</w:t>
            </w:r>
          </w:p>
          <w:p>
            <w:pPr>
              <w:widowControl/>
              <w:jc w:val="left"/>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　</w:t>
            </w:r>
          </w:p>
        </w:tc>
      </w:tr>
      <w:tr>
        <w:tblPrEx>
          <w:tblCellMar>
            <w:top w:w="0" w:type="dxa"/>
            <w:left w:w="0" w:type="dxa"/>
            <w:bottom w:w="0" w:type="dxa"/>
            <w:right w:w="0" w:type="dxa"/>
          </w:tblCellMar>
        </w:tblPrEx>
        <w:trPr>
          <w:trHeight w:val="866" w:hRule="atLeast"/>
        </w:trPr>
        <w:tc>
          <w:tcPr>
            <w:tcW w:w="1164"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家庭住址</w:t>
            </w:r>
          </w:p>
        </w:tc>
        <w:tc>
          <w:tcPr>
            <w:tcW w:w="2345" w:type="dxa"/>
            <w:gridSpan w:val="3"/>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　</w:t>
            </w:r>
          </w:p>
        </w:tc>
        <w:tc>
          <w:tcPr>
            <w:tcW w:w="1618" w:type="dxa"/>
            <w:gridSpan w:val="2"/>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参保地</w:t>
            </w:r>
          </w:p>
        </w:tc>
        <w:tc>
          <w:tcPr>
            <w:tcW w:w="3693"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　</w:t>
            </w:r>
          </w:p>
        </w:tc>
      </w:tr>
      <w:tr>
        <w:tblPrEx>
          <w:tblCellMar>
            <w:top w:w="0" w:type="dxa"/>
            <w:left w:w="0" w:type="dxa"/>
            <w:bottom w:w="0" w:type="dxa"/>
            <w:right w:w="0" w:type="dxa"/>
          </w:tblCellMar>
        </w:tblPrEx>
        <w:trPr>
          <w:trHeight w:val="1002" w:hRule="atLeast"/>
        </w:trPr>
        <w:tc>
          <w:tcPr>
            <w:tcW w:w="1164"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申报病种</w:t>
            </w:r>
          </w:p>
        </w:tc>
        <w:tc>
          <w:tcPr>
            <w:tcW w:w="7656" w:type="dxa"/>
            <w:gridSpan w:val="7"/>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 xml:space="preserve">     □高血压         □糖尿病  </w:t>
            </w:r>
          </w:p>
        </w:tc>
      </w:tr>
      <w:tr>
        <w:tblPrEx>
          <w:tblCellMar>
            <w:top w:w="0" w:type="dxa"/>
            <w:left w:w="0" w:type="dxa"/>
            <w:bottom w:w="0" w:type="dxa"/>
            <w:right w:w="0" w:type="dxa"/>
          </w:tblCellMar>
        </w:tblPrEx>
        <w:trPr>
          <w:trHeight w:val="1616" w:hRule="atLeast"/>
        </w:trPr>
        <w:tc>
          <w:tcPr>
            <w:tcW w:w="1164" w:type="dxa"/>
            <w:vMerge w:val="restart"/>
            <w:tcBorders>
              <w:top w:val="nil"/>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专家意见</w:t>
            </w:r>
          </w:p>
        </w:tc>
        <w:tc>
          <w:tcPr>
            <w:tcW w:w="7656" w:type="dxa"/>
            <w:gridSpan w:val="7"/>
            <w:tcBorders>
              <w:top w:val="single" w:color="auto" w:sz="4" w:space="0"/>
              <w:left w:val="nil"/>
              <w:bottom w:val="nil"/>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28"/>
                <w:szCs w:val="28"/>
              </w:rPr>
            </w:pPr>
            <w:r>
              <w:rPr>
                <w:rFonts w:hint="eastAsia" w:ascii="宋体" w:hAnsi="宋体" w:eastAsia="宋体" w:cs="宋体"/>
                <w:color w:val="000000"/>
                <w:kern w:val="0"/>
                <w:sz w:val="28"/>
                <w:szCs w:val="28"/>
                <w:lang w:bidi="ar"/>
              </w:rPr>
              <w:t xml:space="preserve"> 病史及诊断：</w:t>
            </w:r>
          </w:p>
        </w:tc>
      </w:tr>
      <w:tr>
        <w:tblPrEx>
          <w:tblCellMar>
            <w:top w:w="0" w:type="dxa"/>
            <w:left w:w="0" w:type="dxa"/>
            <w:bottom w:w="0" w:type="dxa"/>
            <w:right w:w="0" w:type="dxa"/>
          </w:tblCellMar>
        </w:tblPrEx>
        <w:trPr>
          <w:trHeight w:val="442" w:hRule="atLeast"/>
        </w:trPr>
        <w:tc>
          <w:tcPr>
            <w:tcW w:w="1164" w:type="dxa"/>
            <w:vMerge w:val="continue"/>
            <w:tcBorders>
              <w:top w:val="nil"/>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8"/>
                <w:szCs w:val="28"/>
              </w:rPr>
            </w:pPr>
          </w:p>
        </w:tc>
        <w:tc>
          <w:tcPr>
            <w:tcW w:w="996" w:type="dxa"/>
            <w:tcBorders>
              <w:top w:val="nil"/>
              <w:left w:val="nil"/>
              <w:bottom w:val="nil"/>
              <w:right w:val="nil"/>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28"/>
                <w:szCs w:val="28"/>
              </w:rPr>
            </w:pPr>
            <w:r>
              <w:rPr>
                <w:rFonts w:hint="eastAsia" w:ascii="宋体" w:hAnsi="宋体" w:eastAsia="宋体" w:cs="宋体"/>
                <w:color w:val="000000"/>
                <w:kern w:val="0"/>
                <w:sz w:val="28"/>
                <w:szCs w:val="28"/>
                <w:lang w:bidi="ar"/>
              </w:rPr>
              <w:t>　</w:t>
            </w:r>
          </w:p>
        </w:tc>
        <w:tc>
          <w:tcPr>
            <w:tcW w:w="631" w:type="dxa"/>
            <w:tcBorders>
              <w:top w:val="nil"/>
              <w:left w:val="nil"/>
              <w:bottom w:val="nil"/>
              <w:right w:val="nil"/>
            </w:tcBorders>
            <w:shd w:val="clear" w:color="auto" w:fill="auto"/>
            <w:noWrap/>
            <w:tcMar>
              <w:top w:w="15" w:type="dxa"/>
              <w:left w:w="15" w:type="dxa"/>
              <w:right w:w="15" w:type="dxa"/>
            </w:tcMar>
          </w:tcPr>
          <w:p>
            <w:pPr>
              <w:jc w:val="left"/>
              <w:rPr>
                <w:rFonts w:ascii="宋体" w:hAnsi="宋体" w:eastAsia="宋体" w:cs="宋体"/>
                <w:color w:val="000000"/>
                <w:sz w:val="28"/>
                <w:szCs w:val="28"/>
              </w:rPr>
            </w:pPr>
          </w:p>
        </w:tc>
        <w:tc>
          <w:tcPr>
            <w:tcW w:w="718" w:type="dxa"/>
            <w:tcBorders>
              <w:top w:val="nil"/>
              <w:left w:val="nil"/>
              <w:bottom w:val="nil"/>
              <w:right w:val="nil"/>
            </w:tcBorders>
            <w:shd w:val="clear" w:color="auto" w:fill="auto"/>
            <w:noWrap/>
            <w:tcMar>
              <w:top w:w="15" w:type="dxa"/>
              <w:left w:w="15" w:type="dxa"/>
              <w:right w:w="15" w:type="dxa"/>
            </w:tcMar>
          </w:tcPr>
          <w:p>
            <w:pPr>
              <w:jc w:val="left"/>
              <w:rPr>
                <w:rFonts w:ascii="宋体" w:hAnsi="宋体" w:eastAsia="宋体" w:cs="宋体"/>
                <w:color w:val="000000"/>
                <w:sz w:val="28"/>
                <w:szCs w:val="28"/>
              </w:rPr>
            </w:pPr>
          </w:p>
        </w:tc>
        <w:tc>
          <w:tcPr>
            <w:tcW w:w="812" w:type="dxa"/>
            <w:tcBorders>
              <w:top w:val="nil"/>
              <w:left w:val="nil"/>
              <w:bottom w:val="nil"/>
              <w:right w:val="nil"/>
            </w:tcBorders>
            <w:shd w:val="clear" w:color="auto" w:fill="auto"/>
            <w:noWrap/>
            <w:tcMar>
              <w:top w:w="15" w:type="dxa"/>
              <w:left w:w="15" w:type="dxa"/>
              <w:right w:w="15" w:type="dxa"/>
            </w:tcMar>
          </w:tcPr>
          <w:p>
            <w:pPr>
              <w:jc w:val="left"/>
              <w:rPr>
                <w:rFonts w:ascii="宋体" w:hAnsi="宋体" w:eastAsia="宋体" w:cs="宋体"/>
                <w:color w:val="000000"/>
                <w:sz w:val="28"/>
                <w:szCs w:val="28"/>
              </w:rPr>
            </w:pPr>
          </w:p>
        </w:tc>
        <w:tc>
          <w:tcPr>
            <w:tcW w:w="806" w:type="dxa"/>
            <w:tcBorders>
              <w:top w:val="nil"/>
              <w:left w:val="nil"/>
              <w:bottom w:val="nil"/>
              <w:right w:val="nil"/>
            </w:tcBorders>
            <w:shd w:val="clear" w:color="auto" w:fill="auto"/>
            <w:noWrap/>
            <w:tcMar>
              <w:top w:w="15" w:type="dxa"/>
              <w:left w:w="15" w:type="dxa"/>
              <w:right w:w="15" w:type="dxa"/>
            </w:tcMar>
          </w:tcPr>
          <w:p>
            <w:pPr>
              <w:jc w:val="left"/>
              <w:rPr>
                <w:rFonts w:ascii="宋体" w:hAnsi="宋体" w:eastAsia="宋体" w:cs="宋体"/>
                <w:color w:val="000000"/>
                <w:sz w:val="28"/>
                <w:szCs w:val="28"/>
              </w:rPr>
            </w:pPr>
          </w:p>
        </w:tc>
        <w:tc>
          <w:tcPr>
            <w:tcW w:w="3436" w:type="dxa"/>
            <w:tcBorders>
              <w:top w:val="nil"/>
              <w:left w:val="nil"/>
              <w:bottom w:val="nil"/>
              <w:right w:val="nil"/>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28"/>
                <w:szCs w:val="28"/>
              </w:rPr>
            </w:pPr>
            <w:r>
              <w:rPr>
                <w:rFonts w:hint="eastAsia" w:ascii="宋体" w:hAnsi="宋体" w:eastAsia="宋体" w:cs="宋体"/>
                <w:color w:val="000000"/>
                <w:kern w:val="0"/>
                <w:sz w:val="28"/>
                <w:szCs w:val="28"/>
                <w:lang w:bidi="ar"/>
              </w:rPr>
              <w:t>签字：</w:t>
            </w:r>
          </w:p>
        </w:tc>
        <w:tc>
          <w:tcPr>
            <w:tcW w:w="257" w:type="dxa"/>
            <w:tcBorders>
              <w:top w:val="nil"/>
              <w:left w:val="nil"/>
              <w:bottom w:val="nil"/>
              <w:right w:val="single" w:color="auto"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28"/>
                <w:szCs w:val="28"/>
              </w:rPr>
            </w:pPr>
            <w:r>
              <w:rPr>
                <w:rFonts w:hint="eastAsia" w:ascii="宋体" w:hAnsi="宋体" w:eastAsia="宋体" w:cs="宋体"/>
                <w:color w:val="000000"/>
                <w:kern w:val="0"/>
                <w:sz w:val="28"/>
                <w:szCs w:val="28"/>
                <w:lang w:bidi="ar"/>
              </w:rPr>
              <w:t>　</w:t>
            </w:r>
          </w:p>
        </w:tc>
      </w:tr>
      <w:tr>
        <w:tblPrEx>
          <w:tblCellMar>
            <w:top w:w="0" w:type="dxa"/>
            <w:left w:w="0" w:type="dxa"/>
            <w:bottom w:w="0" w:type="dxa"/>
            <w:right w:w="0" w:type="dxa"/>
          </w:tblCellMar>
        </w:tblPrEx>
        <w:trPr>
          <w:trHeight w:val="387" w:hRule="atLeast"/>
        </w:trPr>
        <w:tc>
          <w:tcPr>
            <w:tcW w:w="1164" w:type="dxa"/>
            <w:vMerge w:val="continue"/>
            <w:tcBorders>
              <w:top w:val="nil"/>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8"/>
                <w:szCs w:val="28"/>
              </w:rPr>
            </w:pPr>
          </w:p>
        </w:tc>
        <w:tc>
          <w:tcPr>
            <w:tcW w:w="996" w:type="dxa"/>
            <w:tcBorders>
              <w:top w:val="nil"/>
              <w:left w:val="nil"/>
              <w:bottom w:val="single" w:color="auto" w:sz="4" w:space="0"/>
              <w:right w:val="nil"/>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28"/>
                <w:szCs w:val="28"/>
              </w:rPr>
            </w:pPr>
            <w:r>
              <w:rPr>
                <w:rFonts w:hint="eastAsia" w:ascii="宋体" w:hAnsi="宋体" w:eastAsia="宋体" w:cs="宋体"/>
                <w:color w:val="000000"/>
                <w:kern w:val="0"/>
                <w:sz w:val="28"/>
                <w:szCs w:val="28"/>
                <w:lang w:bidi="ar"/>
              </w:rPr>
              <w:t>　</w:t>
            </w:r>
          </w:p>
        </w:tc>
        <w:tc>
          <w:tcPr>
            <w:tcW w:w="631" w:type="dxa"/>
            <w:tcBorders>
              <w:top w:val="nil"/>
              <w:left w:val="nil"/>
              <w:bottom w:val="single" w:color="auto" w:sz="4" w:space="0"/>
              <w:right w:val="nil"/>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28"/>
                <w:szCs w:val="28"/>
              </w:rPr>
            </w:pPr>
            <w:r>
              <w:rPr>
                <w:rFonts w:hint="eastAsia" w:ascii="宋体" w:hAnsi="宋体" w:eastAsia="宋体" w:cs="宋体"/>
                <w:color w:val="000000"/>
                <w:kern w:val="0"/>
                <w:sz w:val="28"/>
                <w:szCs w:val="28"/>
                <w:lang w:bidi="ar"/>
              </w:rPr>
              <w:t>　</w:t>
            </w:r>
          </w:p>
        </w:tc>
        <w:tc>
          <w:tcPr>
            <w:tcW w:w="718" w:type="dxa"/>
            <w:tcBorders>
              <w:top w:val="nil"/>
              <w:left w:val="nil"/>
              <w:bottom w:val="single" w:color="auto" w:sz="4" w:space="0"/>
              <w:right w:val="nil"/>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28"/>
                <w:szCs w:val="28"/>
              </w:rPr>
            </w:pPr>
            <w:r>
              <w:rPr>
                <w:rFonts w:hint="eastAsia" w:ascii="宋体" w:hAnsi="宋体" w:eastAsia="宋体" w:cs="宋体"/>
                <w:color w:val="000000"/>
                <w:kern w:val="0"/>
                <w:sz w:val="28"/>
                <w:szCs w:val="28"/>
                <w:lang w:bidi="ar"/>
              </w:rPr>
              <w:t>　</w:t>
            </w:r>
          </w:p>
        </w:tc>
        <w:tc>
          <w:tcPr>
            <w:tcW w:w="812" w:type="dxa"/>
            <w:tcBorders>
              <w:top w:val="nil"/>
              <w:left w:val="nil"/>
              <w:bottom w:val="single" w:color="auto" w:sz="4" w:space="0"/>
              <w:right w:val="nil"/>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28"/>
                <w:szCs w:val="28"/>
              </w:rPr>
            </w:pPr>
            <w:r>
              <w:rPr>
                <w:rFonts w:hint="eastAsia" w:ascii="宋体" w:hAnsi="宋体" w:eastAsia="宋体" w:cs="宋体"/>
                <w:color w:val="000000"/>
                <w:kern w:val="0"/>
                <w:sz w:val="28"/>
                <w:szCs w:val="28"/>
                <w:lang w:bidi="ar"/>
              </w:rPr>
              <w:t>　</w:t>
            </w:r>
          </w:p>
        </w:tc>
        <w:tc>
          <w:tcPr>
            <w:tcW w:w="806" w:type="dxa"/>
            <w:tcBorders>
              <w:top w:val="nil"/>
              <w:left w:val="nil"/>
              <w:bottom w:val="single" w:color="auto" w:sz="4" w:space="0"/>
              <w:right w:val="nil"/>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28"/>
                <w:szCs w:val="28"/>
              </w:rPr>
            </w:pPr>
            <w:r>
              <w:rPr>
                <w:rFonts w:hint="eastAsia" w:ascii="宋体" w:hAnsi="宋体" w:eastAsia="宋体" w:cs="宋体"/>
                <w:color w:val="000000"/>
                <w:kern w:val="0"/>
                <w:sz w:val="28"/>
                <w:szCs w:val="28"/>
                <w:lang w:bidi="ar"/>
              </w:rPr>
              <w:t>　</w:t>
            </w:r>
          </w:p>
        </w:tc>
        <w:tc>
          <w:tcPr>
            <w:tcW w:w="3693"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28"/>
                <w:szCs w:val="28"/>
              </w:rPr>
            </w:pPr>
            <w:r>
              <w:rPr>
                <w:rFonts w:hint="eastAsia" w:ascii="宋体" w:hAnsi="宋体" w:eastAsia="宋体" w:cs="宋体"/>
                <w:color w:val="000000"/>
                <w:kern w:val="0"/>
                <w:sz w:val="28"/>
                <w:szCs w:val="28"/>
                <w:lang w:bidi="ar"/>
              </w:rPr>
              <w:t xml:space="preserve">      年   月    日</w:t>
            </w:r>
          </w:p>
        </w:tc>
      </w:tr>
      <w:tr>
        <w:tblPrEx>
          <w:tblCellMar>
            <w:top w:w="0" w:type="dxa"/>
            <w:left w:w="0" w:type="dxa"/>
            <w:bottom w:w="0" w:type="dxa"/>
            <w:right w:w="0" w:type="dxa"/>
          </w:tblCellMar>
        </w:tblPrEx>
        <w:trPr>
          <w:trHeight w:val="1921" w:hRule="atLeast"/>
        </w:trPr>
        <w:tc>
          <w:tcPr>
            <w:tcW w:w="1164" w:type="dxa"/>
            <w:vMerge w:val="continue"/>
            <w:tcBorders>
              <w:top w:val="nil"/>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8"/>
                <w:szCs w:val="28"/>
              </w:rPr>
            </w:pPr>
          </w:p>
        </w:tc>
        <w:tc>
          <w:tcPr>
            <w:tcW w:w="7656" w:type="dxa"/>
            <w:gridSpan w:val="7"/>
            <w:tcBorders>
              <w:top w:val="nil"/>
              <w:left w:val="nil"/>
              <w:bottom w:val="nil"/>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28"/>
                <w:szCs w:val="28"/>
              </w:rPr>
            </w:pPr>
            <w:r>
              <w:rPr>
                <w:rFonts w:hint="eastAsia" w:ascii="宋体" w:hAnsi="宋体" w:eastAsia="宋体" w:cs="宋体"/>
                <w:color w:val="000000"/>
                <w:kern w:val="0"/>
                <w:sz w:val="28"/>
                <w:szCs w:val="28"/>
                <w:lang w:bidi="ar"/>
              </w:rPr>
              <w:t xml:space="preserve"> 治疗方案：</w:t>
            </w:r>
          </w:p>
        </w:tc>
      </w:tr>
      <w:tr>
        <w:tblPrEx>
          <w:tblCellMar>
            <w:top w:w="0" w:type="dxa"/>
            <w:left w:w="0" w:type="dxa"/>
            <w:bottom w:w="0" w:type="dxa"/>
            <w:right w:w="0" w:type="dxa"/>
          </w:tblCellMar>
        </w:tblPrEx>
        <w:trPr>
          <w:trHeight w:val="442" w:hRule="atLeast"/>
        </w:trPr>
        <w:tc>
          <w:tcPr>
            <w:tcW w:w="1164" w:type="dxa"/>
            <w:vMerge w:val="continue"/>
            <w:tcBorders>
              <w:top w:val="nil"/>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8"/>
                <w:szCs w:val="28"/>
              </w:rPr>
            </w:pPr>
          </w:p>
        </w:tc>
        <w:tc>
          <w:tcPr>
            <w:tcW w:w="996" w:type="dxa"/>
            <w:tcBorders>
              <w:top w:val="nil"/>
              <w:left w:val="nil"/>
              <w:bottom w:val="nil"/>
              <w:right w:val="nil"/>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28"/>
                <w:szCs w:val="28"/>
              </w:rPr>
            </w:pPr>
            <w:r>
              <w:rPr>
                <w:rFonts w:hint="eastAsia" w:ascii="宋体" w:hAnsi="宋体" w:eastAsia="宋体" w:cs="宋体"/>
                <w:color w:val="000000"/>
                <w:kern w:val="0"/>
                <w:sz w:val="28"/>
                <w:szCs w:val="28"/>
                <w:lang w:bidi="ar"/>
              </w:rPr>
              <w:t>　</w:t>
            </w:r>
          </w:p>
        </w:tc>
        <w:tc>
          <w:tcPr>
            <w:tcW w:w="631" w:type="dxa"/>
            <w:tcBorders>
              <w:top w:val="nil"/>
              <w:left w:val="nil"/>
              <w:bottom w:val="nil"/>
              <w:right w:val="nil"/>
            </w:tcBorders>
            <w:shd w:val="clear" w:color="auto" w:fill="auto"/>
            <w:noWrap/>
            <w:tcMar>
              <w:top w:w="15" w:type="dxa"/>
              <w:left w:w="15" w:type="dxa"/>
              <w:right w:w="15" w:type="dxa"/>
            </w:tcMar>
          </w:tcPr>
          <w:p>
            <w:pPr>
              <w:jc w:val="left"/>
              <w:rPr>
                <w:rFonts w:ascii="宋体" w:hAnsi="宋体" w:eastAsia="宋体" w:cs="宋体"/>
                <w:color w:val="000000"/>
                <w:sz w:val="28"/>
                <w:szCs w:val="28"/>
              </w:rPr>
            </w:pPr>
          </w:p>
        </w:tc>
        <w:tc>
          <w:tcPr>
            <w:tcW w:w="718" w:type="dxa"/>
            <w:tcBorders>
              <w:top w:val="nil"/>
              <w:left w:val="nil"/>
              <w:bottom w:val="nil"/>
              <w:right w:val="nil"/>
            </w:tcBorders>
            <w:shd w:val="clear" w:color="auto" w:fill="auto"/>
            <w:noWrap/>
            <w:tcMar>
              <w:top w:w="15" w:type="dxa"/>
              <w:left w:w="15" w:type="dxa"/>
              <w:right w:w="15" w:type="dxa"/>
            </w:tcMar>
          </w:tcPr>
          <w:p>
            <w:pPr>
              <w:jc w:val="left"/>
              <w:rPr>
                <w:rFonts w:ascii="宋体" w:hAnsi="宋体" w:eastAsia="宋体" w:cs="宋体"/>
                <w:color w:val="000000"/>
                <w:sz w:val="28"/>
                <w:szCs w:val="28"/>
              </w:rPr>
            </w:pPr>
          </w:p>
        </w:tc>
        <w:tc>
          <w:tcPr>
            <w:tcW w:w="812" w:type="dxa"/>
            <w:tcBorders>
              <w:top w:val="nil"/>
              <w:left w:val="nil"/>
              <w:bottom w:val="nil"/>
              <w:right w:val="nil"/>
            </w:tcBorders>
            <w:shd w:val="clear" w:color="auto" w:fill="auto"/>
            <w:noWrap/>
            <w:tcMar>
              <w:top w:w="15" w:type="dxa"/>
              <w:left w:w="15" w:type="dxa"/>
              <w:right w:w="15" w:type="dxa"/>
            </w:tcMar>
          </w:tcPr>
          <w:p>
            <w:pPr>
              <w:jc w:val="left"/>
              <w:rPr>
                <w:rFonts w:ascii="宋体" w:hAnsi="宋体" w:eastAsia="宋体" w:cs="宋体"/>
                <w:color w:val="000000"/>
                <w:sz w:val="28"/>
                <w:szCs w:val="28"/>
              </w:rPr>
            </w:pPr>
          </w:p>
        </w:tc>
        <w:tc>
          <w:tcPr>
            <w:tcW w:w="806" w:type="dxa"/>
            <w:tcBorders>
              <w:top w:val="nil"/>
              <w:left w:val="nil"/>
              <w:bottom w:val="nil"/>
              <w:right w:val="nil"/>
            </w:tcBorders>
            <w:shd w:val="clear" w:color="auto" w:fill="auto"/>
            <w:noWrap/>
            <w:tcMar>
              <w:top w:w="15" w:type="dxa"/>
              <w:left w:w="15" w:type="dxa"/>
              <w:right w:w="15" w:type="dxa"/>
            </w:tcMar>
          </w:tcPr>
          <w:p>
            <w:pPr>
              <w:jc w:val="left"/>
              <w:rPr>
                <w:rFonts w:ascii="宋体" w:hAnsi="宋体" w:eastAsia="宋体" w:cs="宋体"/>
                <w:color w:val="000000"/>
                <w:sz w:val="28"/>
                <w:szCs w:val="28"/>
              </w:rPr>
            </w:pPr>
          </w:p>
        </w:tc>
        <w:tc>
          <w:tcPr>
            <w:tcW w:w="3436" w:type="dxa"/>
            <w:tcBorders>
              <w:top w:val="nil"/>
              <w:left w:val="nil"/>
              <w:bottom w:val="nil"/>
              <w:right w:val="nil"/>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28"/>
                <w:szCs w:val="28"/>
              </w:rPr>
            </w:pPr>
            <w:r>
              <w:rPr>
                <w:rFonts w:hint="eastAsia" w:ascii="宋体" w:hAnsi="宋体" w:eastAsia="宋体" w:cs="宋体"/>
                <w:color w:val="000000"/>
                <w:kern w:val="0"/>
                <w:sz w:val="28"/>
                <w:szCs w:val="28"/>
                <w:lang w:bidi="ar"/>
              </w:rPr>
              <w:t>签字：</w:t>
            </w:r>
          </w:p>
        </w:tc>
        <w:tc>
          <w:tcPr>
            <w:tcW w:w="257" w:type="dxa"/>
            <w:tcBorders>
              <w:top w:val="nil"/>
              <w:left w:val="nil"/>
              <w:bottom w:val="nil"/>
              <w:right w:val="single" w:color="auto"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28"/>
                <w:szCs w:val="28"/>
              </w:rPr>
            </w:pPr>
            <w:r>
              <w:rPr>
                <w:rFonts w:hint="eastAsia" w:ascii="宋体" w:hAnsi="宋体" w:eastAsia="宋体" w:cs="宋体"/>
                <w:color w:val="000000"/>
                <w:kern w:val="0"/>
                <w:sz w:val="28"/>
                <w:szCs w:val="28"/>
                <w:lang w:bidi="ar"/>
              </w:rPr>
              <w:t>　</w:t>
            </w:r>
          </w:p>
        </w:tc>
      </w:tr>
      <w:tr>
        <w:tblPrEx>
          <w:tblCellMar>
            <w:top w:w="0" w:type="dxa"/>
            <w:left w:w="0" w:type="dxa"/>
            <w:bottom w:w="0" w:type="dxa"/>
            <w:right w:w="0" w:type="dxa"/>
          </w:tblCellMar>
        </w:tblPrEx>
        <w:trPr>
          <w:trHeight w:val="387" w:hRule="atLeast"/>
        </w:trPr>
        <w:tc>
          <w:tcPr>
            <w:tcW w:w="1164" w:type="dxa"/>
            <w:vMerge w:val="continue"/>
            <w:tcBorders>
              <w:top w:val="nil"/>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8"/>
                <w:szCs w:val="28"/>
              </w:rPr>
            </w:pPr>
          </w:p>
        </w:tc>
        <w:tc>
          <w:tcPr>
            <w:tcW w:w="996" w:type="dxa"/>
            <w:tcBorders>
              <w:top w:val="nil"/>
              <w:left w:val="nil"/>
              <w:bottom w:val="single" w:color="auto" w:sz="4" w:space="0"/>
              <w:right w:val="nil"/>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28"/>
                <w:szCs w:val="28"/>
              </w:rPr>
            </w:pPr>
            <w:r>
              <w:rPr>
                <w:rFonts w:hint="eastAsia" w:ascii="宋体" w:hAnsi="宋体" w:eastAsia="宋体" w:cs="宋体"/>
                <w:color w:val="000000"/>
                <w:kern w:val="0"/>
                <w:sz w:val="28"/>
                <w:szCs w:val="28"/>
                <w:lang w:bidi="ar"/>
              </w:rPr>
              <w:t>　</w:t>
            </w:r>
          </w:p>
        </w:tc>
        <w:tc>
          <w:tcPr>
            <w:tcW w:w="631" w:type="dxa"/>
            <w:tcBorders>
              <w:top w:val="nil"/>
              <w:left w:val="nil"/>
              <w:bottom w:val="single" w:color="auto" w:sz="4" w:space="0"/>
              <w:right w:val="nil"/>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28"/>
                <w:szCs w:val="28"/>
              </w:rPr>
            </w:pPr>
            <w:r>
              <w:rPr>
                <w:rFonts w:hint="eastAsia" w:ascii="宋体" w:hAnsi="宋体" w:eastAsia="宋体" w:cs="宋体"/>
                <w:color w:val="000000"/>
                <w:kern w:val="0"/>
                <w:sz w:val="28"/>
                <w:szCs w:val="28"/>
                <w:lang w:bidi="ar"/>
              </w:rPr>
              <w:t>　</w:t>
            </w:r>
          </w:p>
        </w:tc>
        <w:tc>
          <w:tcPr>
            <w:tcW w:w="718" w:type="dxa"/>
            <w:tcBorders>
              <w:top w:val="nil"/>
              <w:left w:val="nil"/>
              <w:bottom w:val="single" w:color="auto" w:sz="4" w:space="0"/>
              <w:right w:val="nil"/>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28"/>
                <w:szCs w:val="28"/>
              </w:rPr>
            </w:pPr>
            <w:r>
              <w:rPr>
                <w:rFonts w:hint="eastAsia" w:ascii="宋体" w:hAnsi="宋体" w:eastAsia="宋体" w:cs="宋体"/>
                <w:color w:val="000000"/>
                <w:kern w:val="0"/>
                <w:sz w:val="28"/>
                <w:szCs w:val="28"/>
                <w:lang w:bidi="ar"/>
              </w:rPr>
              <w:t>　</w:t>
            </w:r>
          </w:p>
        </w:tc>
        <w:tc>
          <w:tcPr>
            <w:tcW w:w="812" w:type="dxa"/>
            <w:tcBorders>
              <w:top w:val="nil"/>
              <w:left w:val="nil"/>
              <w:bottom w:val="single" w:color="auto" w:sz="4" w:space="0"/>
              <w:right w:val="nil"/>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28"/>
                <w:szCs w:val="28"/>
              </w:rPr>
            </w:pPr>
            <w:r>
              <w:rPr>
                <w:rFonts w:hint="eastAsia" w:ascii="宋体" w:hAnsi="宋体" w:eastAsia="宋体" w:cs="宋体"/>
                <w:color w:val="000000"/>
                <w:kern w:val="0"/>
                <w:sz w:val="28"/>
                <w:szCs w:val="28"/>
                <w:lang w:bidi="ar"/>
              </w:rPr>
              <w:t>　</w:t>
            </w:r>
          </w:p>
        </w:tc>
        <w:tc>
          <w:tcPr>
            <w:tcW w:w="806" w:type="dxa"/>
            <w:tcBorders>
              <w:top w:val="nil"/>
              <w:left w:val="nil"/>
              <w:bottom w:val="single" w:color="auto" w:sz="4" w:space="0"/>
              <w:right w:val="nil"/>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28"/>
                <w:szCs w:val="28"/>
              </w:rPr>
            </w:pPr>
            <w:r>
              <w:rPr>
                <w:rFonts w:hint="eastAsia" w:ascii="宋体" w:hAnsi="宋体" w:eastAsia="宋体" w:cs="宋体"/>
                <w:color w:val="000000"/>
                <w:kern w:val="0"/>
                <w:sz w:val="28"/>
                <w:szCs w:val="28"/>
                <w:lang w:bidi="ar"/>
              </w:rPr>
              <w:t>　</w:t>
            </w:r>
          </w:p>
        </w:tc>
        <w:tc>
          <w:tcPr>
            <w:tcW w:w="3693"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sz w:val="28"/>
                <w:szCs w:val="28"/>
              </w:rPr>
            </w:pPr>
            <w:r>
              <w:rPr>
                <w:rFonts w:hint="eastAsia" w:ascii="宋体" w:hAnsi="宋体" w:eastAsia="宋体" w:cs="宋体"/>
                <w:color w:val="000000"/>
                <w:kern w:val="0"/>
                <w:sz w:val="28"/>
                <w:szCs w:val="28"/>
                <w:lang w:bidi="ar"/>
              </w:rPr>
              <w:t xml:space="preserve">      年   月    日</w:t>
            </w:r>
          </w:p>
        </w:tc>
      </w:tr>
      <w:tr>
        <w:tblPrEx>
          <w:tblCellMar>
            <w:top w:w="0" w:type="dxa"/>
            <w:left w:w="0" w:type="dxa"/>
            <w:bottom w:w="0" w:type="dxa"/>
            <w:right w:w="0" w:type="dxa"/>
          </w:tblCellMar>
        </w:tblPrEx>
        <w:trPr>
          <w:trHeight w:val="1954" w:hRule="atLeast"/>
        </w:trPr>
        <w:tc>
          <w:tcPr>
            <w:tcW w:w="1164"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医</w:t>
            </w:r>
            <w:r>
              <w:rPr>
                <w:rFonts w:hint="eastAsia" w:ascii="宋体" w:hAnsi="宋体" w:cs="宋体"/>
                <w:color w:val="000000"/>
                <w:kern w:val="0"/>
                <w:sz w:val="28"/>
                <w:szCs w:val="28"/>
                <w:lang w:bidi="ar"/>
              </w:rPr>
              <w:t>院</w:t>
            </w:r>
            <w:r>
              <w:rPr>
                <w:rFonts w:hint="eastAsia" w:ascii="宋体" w:hAnsi="宋体" w:eastAsia="宋体" w:cs="宋体"/>
                <w:color w:val="000000"/>
                <w:kern w:val="0"/>
                <w:sz w:val="28"/>
                <w:szCs w:val="28"/>
                <w:lang w:bidi="ar"/>
              </w:rPr>
              <w:t>意见</w:t>
            </w:r>
          </w:p>
        </w:tc>
        <w:tc>
          <w:tcPr>
            <w:tcW w:w="7656" w:type="dxa"/>
            <w:gridSpan w:val="7"/>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eastAsia="宋体" w:cs="宋体"/>
                <w:color w:val="000000"/>
                <w:kern w:val="0"/>
                <w:sz w:val="28"/>
                <w:szCs w:val="28"/>
                <w:lang w:bidi="ar"/>
              </w:rPr>
            </w:pPr>
          </w:p>
          <w:p>
            <w:pPr>
              <w:widowControl/>
              <w:ind w:firstLine="5040" w:firstLineChars="1800"/>
              <w:jc w:val="left"/>
              <w:textAlignment w:val="top"/>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签章：</w:t>
            </w:r>
          </w:p>
          <w:p>
            <w:pPr>
              <w:widowControl/>
              <w:ind w:firstLine="5040" w:firstLineChars="1800"/>
              <w:jc w:val="left"/>
              <w:textAlignment w:val="top"/>
              <w:rPr>
                <w:rFonts w:ascii="宋体" w:hAnsi="宋体" w:eastAsia="宋体" w:cs="宋体"/>
                <w:color w:val="000000"/>
                <w:sz w:val="28"/>
                <w:szCs w:val="28"/>
              </w:rPr>
            </w:pPr>
            <w:r>
              <w:rPr>
                <w:rFonts w:hint="eastAsia" w:ascii="宋体" w:hAnsi="宋体" w:eastAsia="宋体" w:cs="宋体"/>
                <w:color w:val="000000"/>
                <w:kern w:val="0"/>
                <w:sz w:val="28"/>
                <w:szCs w:val="28"/>
                <w:lang w:bidi="ar"/>
              </w:rPr>
              <w:t>年   月    日</w:t>
            </w:r>
          </w:p>
        </w:tc>
      </w:tr>
    </w:tbl>
    <w:p>
      <w:pPr>
        <w:pStyle w:val="5"/>
        <w:widowControl/>
        <w:spacing w:beforeAutospacing="0" w:afterAutospacing="0" w:line="555" w:lineRule="atLeast"/>
        <w:jc w:val="both"/>
        <w:rPr>
          <w:rFonts w:ascii="仿宋" w:hAnsi="仿宋" w:eastAsia="仿宋" w:cs="仿宋"/>
          <w:sz w:val="31"/>
          <w:szCs w:val="31"/>
        </w:rPr>
      </w:pPr>
    </w:p>
    <w:p>
      <w:pPr>
        <w:pStyle w:val="5"/>
        <w:widowControl/>
        <w:spacing w:beforeAutospacing="0" w:afterAutospacing="0" w:line="555" w:lineRule="atLeast"/>
        <w:jc w:val="both"/>
        <w:rPr>
          <w:rFonts w:ascii="仿宋" w:hAnsi="仿宋" w:eastAsia="仿宋" w:cs="仿宋"/>
          <w:sz w:val="21"/>
          <w:szCs w:val="21"/>
        </w:rPr>
      </w:pPr>
      <w:r>
        <w:rPr>
          <w:rFonts w:hint="eastAsia" w:ascii="仿宋" w:hAnsi="仿宋" w:eastAsia="仿宋" w:cs="仿宋"/>
          <w:sz w:val="31"/>
          <w:szCs w:val="31"/>
        </w:rPr>
        <w:t>附件3</w:t>
      </w:r>
    </w:p>
    <w:p>
      <w:pPr>
        <w:pStyle w:val="5"/>
        <w:widowControl/>
        <w:spacing w:beforeAutospacing="0" w:afterAutospacing="0" w:line="555" w:lineRule="atLeast"/>
        <w:jc w:val="both"/>
        <w:rPr>
          <w:rFonts w:ascii="Times New Roman" w:hAnsi="Times New Roman"/>
          <w:sz w:val="18"/>
          <w:szCs w:val="18"/>
        </w:rPr>
      </w:pPr>
      <w:r>
        <w:rPr>
          <w:rFonts w:ascii="方正小标宋简体" w:hAnsi="方正小标宋简体" w:eastAsia="方正小标宋简体" w:cs="方正小标宋简体"/>
          <w:sz w:val="31"/>
          <w:szCs w:val="31"/>
        </w:rPr>
        <w:t> </w:t>
      </w:r>
    </w:p>
    <w:p>
      <w:pPr>
        <w:pStyle w:val="5"/>
        <w:widowControl/>
        <w:spacing w:beforeAutospacing="0" w:afterAutospacing="0" w:line="520" w:lineRule="exact"/>
        <w:jc w:val="center"/>
        <w:rPr>
          <w:rFonts w:ascii="宋体" w:hAnsi="宋体" w:eastAsia="宋体" w:cs="宋体"/>
          <w:b/>
          <w:bCs/>
          <w:sz w:val="44"/>
          <w:szCs w:val="44"/>
        </w:rPr>
      </w:pPr>
      <w:r>
        <w:rPr>
          <w:rFonts w:hint="eastAsia" w:ascii="宋体" w:hAnsi="宋体" w:eastAsia="宋体" w:cs="宋体"/>
          <w:b/>
          <w:bCs/>
          <w:sz w:val="44"/>
          <w:szCs w:val="44"/>
        </w:rPr>
        <w:t>（医疗机构）慢性病用药连续（外配）处方</w:t>
      </w:r>
    </w:p>
    <w:p>
      <w:pPr>
        <w:pStyle w:val="5"/>
        <w:widowControl/>
        <w:spacing w:beforeAutospacing="0" w:afterAutospacing="0" w:line="520" w:lineRule="exact"/>
        <w:jc w:val="both"/>
        <w:rPr>
          <w:rFonts w:ascii="Times New Roman" w:hAnsi="Times New Roman"/>
          <w:sz w:val="21"/>
          <w:szCs w:val="21"/>
        </w:rPr>
      </w:pPr>
      <w:r>
        <w:rPr>
          <w:rStyle w:val="9"/>
          <w:rFonts w:ascii="仿宋_GB2312" w:hAnsi="Times New Roman" w:eastAsia="仿宋_GB2312" w:cs="仿宋_GB2312"/>
          <w:sz w:val="31"/>
          <w:szCs w:val="31"/>
        </w:rPr>
        <w:t> </w:t>
      </w:r>
    </w:p>
    <w:p>
      <w:pPr>
        <w:pStyle w:val="5"/>
        <w:widowControl/>
        <w:spacing w:beforeAutospacing="0" w:afterAutospacing="0" w:line="520" w:lineRule="exact"/>
        <w:jc w:val="both"/>
        <w:rPr>
          <w:rFonts w:ascii="Times New Roman" w:hAnsi="Times New Roman"/>
          <w:sz w:val="32"/>
          <w:szCs w:val="32"/>
        </w:rPr>
      </w:pPr>
      <w:r>
        <w:rPr>
          <w:rFonts w:ascii="仿宋_GB2312" w:hAnsi="Times New Roman" w:eastAsia="仿宋_GB2312" w:cs="仿宋_GB2312"/>
          <w:sz w:val="32"/>
          <w:szCs w:val="32"/>
        </w:rPr>
        <w:t>姓名</w:t>
      </w:r>
      <w:r>
        <w:rPr>
          <w:rFonts w:ascii="仿宋_GB2312" w:hAnsi="Times New Roman" w:eastAsia="仿宋_GB2312" w:cs="仿宋_GB2312"/>
          <w:sz w:val="32"/>
          <w:szCs w:val="32"/>
          <w:u w:val="single"/>
        </w:rPr>
        <w:t>         </w:t>
      </w:r>
      <w:r>
        <w:rPr>
          <w:rFonts w:ascii="仿宋_GB2312" w:hAnsi="Times New Roman" w:eastAsia="仿宋_GB2312" w:cs="仿宋_GB2312"/>
          <w:sz w:val="32"/>
          <w:szCs w:val="32"/>
        </w:rPr>
        <w:t>性别</w:t>
      </w:r>
      <w:r>
        <w:rPr>
          <w:rFonts w:ascii="仿宋_GB2312" w:hAnsi="Times New Roman" w:eastAsia="仿宋_GB2312" w:cs="仿宋_GB2312"/>
          <w:sz w:val="32"/>
          <w:szCs w:val="32"/>
          <w:u w:val="single"/>
        </w:rPr>
        <w:t>        </w:t>
      </w:r>
      <w:r>
        <w:rPr>
          <w:rFonts w:ascii="仿宋_GB2312" w:hAnsi="Times New Roman" w:eastAsia="仿宋_GB2312" w:cs="仿宋_GB2312"/>
          <w:sz w:val="32"/>
          <w:szCs w:val="32"/>
        </w:rPr>
        <w:t>年龄</w:t>
      </w:r>
      <w:r>
        <w:rPr>
          <w:rFonts w:ascii="仿宋_GB2312" w:hAnsi="Times New Roman" w:eastAsia="仿宋_GB2312" w:cs="仿宋_GB2312"/>
          <w:sz w:val="32"/>
          <w:szCs w:val="32"/>
          <w:u w:val="single"/>
        </w:rPr>
        <w:t>      </w:t>
      </w:r>
      <w:r>
        <w:rPr>
          <w:rFonts w:ascii="仿宋_GB2312" w:hAnsi="Times New Roman" w:eastAsia="仿宋_GB2312" w:cs="仿宋_GB2312"/>
          <w:sz w:val="32"/>
          <w:szCs w:val="32"/>
        </w:rPr>
        <w:t>人员类别</w:t>
      </w:r>
      <w:r>
        <w:rPr>
          <w:rFonts w:ascii="仿宋_GB2312" w:hAnsi="Times New Roman" w:eastAsia="仿宋_GB2312" w:cs="仿宋_GB2312"/>
          <w:sz w:val="32"/>
          <w:szCs w:val="32"/>
          <w:u w:val="single"/>
        </w:rPr>
        <w:t>          </w:t>
      </w:r>
      <w:r>
        <w:rPr>
          <w:rFonts w:ascii="仿宋_GB2312" w:hAnsi="Times New Roman" w:eastAsia="仿宋_GB2312" w:cs="仿宋_GB2312"/>
          <w:sz w:val="32"/>
          <w:szCs w:val="32"/>
        </w:rPr>
        <w:t>    </w:t>
      </w:r>
    </w:p>
    <w:p>
      <w:pPr>
        <w:pStyle w:val="5"/>
        <w:widowControl/>
        <w:spacing w:beforeAutospacing="0" w:afterAutospacing="0" w:line="520" w:lineRule="exact"/>
        <w:jc w:val="both"/>
        <w:rPr>
          <w:rFonts w:ascii="Times New Roman" w:hAnsi="Times New Roman"/>
          <w:sz w:val="32"/>
          <w:szCs w:val="32"/>
        </w:rPr>
      </w:pPr>
      <w:r>
        <w:rPr>
          <w:rFonts w:ascii="仿宋_GB2312" w:hAnsi="Times New Roman" w:eastAsia="仿宋_GB2312" w:cs="仿宋_GB2312"/>
          <w:sz w:val="32"/>
          <w:szCs w:val="32"/>
        </w:rPr>
        <w:t>门诊号</w:t>
      </w:r>
      <w:r>
        <w:rPr>
          <w:rFonts w:ascii="仿宋_GB2312" w:hAnsi="Times New Roman" w:eastAsia="仿宋_GB2312" w:cs="仿宋_GB2312"/>
          <w:sz w:val="32"/>
          <w:szCs w:val="32"/>
          <w:u w:val="single"/>
        </w:rPr>
        <w:t>                    </w:t>
      </w:r>
      <w:r>
        <w:rPr>
          <w:rFonts w:ascii="仿宋_GB2312" w:hAnsi="Times New Roman" w:eastAsia="仿宋_GB2312" w:cs="仿宋_GB2312"/>
          <w:sz w:val="32"/>
          <w:szCs w:val="32"/>
        </w:rPr>
        <w:t>科别</w:t>
      </w:r>
      <w:r>
        <w:rPr>
          <w:rFonts w:ascii="仿宋_GB2312" w:hAnsi="Times New Roman" w:eastAsia="仿宋_GB2312" w:cs="仿宋_GB2312"/>
          <w:sz w:val="32"/>
          <w:szCs w:val="32"/>
          <w:u w:val="single"/>
        </w:rPr>
        <w:t>                      </w:t>
      </w:r>
    </w:p>
    <w:p>
      <w:pPr>
        <w:pStyle w:val="5"/>
        <w:widowControl/>
        <w:spacing w:beforeAutospacing="0" w:afterAutospacing="0" w:line="520" w:lineRule="exact"/>
        <w:jc w:val="both"/>
        <w:rPr>
          <w:rFonts w:ascii="Times New Roman" w:hAnsi="Times New Roman"/>
          <w:sz w:val="32"/>
          <w:szCs w:val="32"/>
        </w:rPr>
      </w:pPr>
      <w:r>
        <w:rPr>
          <w:rFonts w:ascii="仿宋_GB2312" w:hAnsi="Times New Roman" w:eastAsia="仿宋_GB2312" w:cs="仿宋_GB2312"/>
          <w:sz w:val="32"/>
          <w:szCs w:val="32"/>
        </w:rPr>
        <w:t>地址</w:t>
      </w:r>
      <w:r>
        <w:rPr>
          <w:rFonts w:ascii="仿宋_GB2312" w:hAnsi="Times New Roman" w:eastAsia="仿宋_GB2312" w:cs="仿宋_GB2312"/>
          <w:sz w:val="32"/>
          <w:szCs w:val="32"/>
          <w:u w:val="single"/>
        </w:rPr>
        <w:t>                      </w:t>
      </w:r>
      <w:r>
        <w:rPr>
          <w:rFonts w:ascii="仿宋_GB2312" w:hAnsi="Times New Roman" w:eastAsia="仿宋_GB2312" w:cs="仿宋_GB2312"/>
          <w:sz w:val="32"/>
          <w:szCs w:val="32"/>
        </w:rPr>
        <w:t>电话</w:t>
      </w:r>
      <w:r>
        <w:rPr>
          <w:rFonts w:ascii="仿宋_GB2312" w:hAnsi="Times New Roman" w:eastAsia="仿宋_GB2312" w:cs="仿宋_GB2312"/>
          <w:sz w:val="32"/>
          <w:szCs w:val="32"/>
          <w:u w:val="single"/>
        </w:rPr>
        <w:t>                      </w:t>
      </w:r>
    </w:p>
    <w:p>
      <w:pPr>
        <w:pStyle w:val="5"/>
        <w:widowControl/>
        <w:spacing w:beforeAutospacing="0" w:afterAutospacing="0" w:line="520" w:lineRule="exact"/>
        <w:jc w:val="both"/>
        <w:rPr>
          <w:rFonts w:ascii="Times New Roman" w:hAnsi="Times New Roman"/>
          <w:sz w:val="32"/>
          <w:szCs w:val="32"/>
        </w:rPr>
      </w:pPr>
      <w:r>
        <w:rPr>
          <w:rFonts w:ascii="仿宋_GB2312" w:hAnsi="Times New Roman" w:eastAsia="仿宋_GB2312" w:cs="仿宋_GB2312"/>
          <w:sz w:val="32"/>
          <w:szCs w:val="32"/>
        </w:rPr>
        <w:t>临床诊断</w:t>
      </w:r>
      <w:r>
        <w:rPr>
          <w:rFonts w:ascii="仿宋_GB2312" w:hAnsi="Times New Roman" w:eastAsia="仿宋_GB2312" w:cs="仿宋_GB2312"/>
          <w:sz w:val="32"/>
          <w:szCs w:val="32"/>
          <w:u w:val="single"/>
        </w:rPr>
        <w:t>                                            </w:t>
      </w:r>
    </w:p>
    <w:p>
      <w:pPr>
        <w:pStyle w:val="5"/>
        <w:widowControl/>
        <w:spacing w:beforeAutospacing="0" w:afterAutospacing="0" w:line="520" w:lineRule="exact"/>
        <w:jc w:val="both"/>
        <w:rPr>
          <w:rFonts w:ascii="Times New Roman" w:hAnsi="Times New Roman"/>
          <w:sz w:val="32"/>
          <w:szCs w:val="32"/>
        </w:rPr>
      </w:pPr>
      <w:r>
        <w:rPr>
          <w:rFonts w:ascii="仿宋_GB2312" w:hAnsi="Times New Roman" w:eastAsia="仿宋_GB2312" w:cs="仿宋_GB2312"/>
          <w:sz w:val="32"/>
          <w:szCs w:val="32"/>
        </w:rPr>
        <w:t>开方日期</w:t>
      </w:r>
      <w:r>
        <w:rPr>
          <w:rFonts w:ascii="仿宋_GB2312" w:hAnsi="Times New Roman" w:eastAsia="仿宋_GB2312" w:cs="仿宋_GB2312"/>
          <w:sz w:val="32"/>
          <w:szCs w:val="32"/>
          <w:u w:val="single"/>
        </w:rPr>
        <w:t>        </w:t>
      </w:r>
      <w:r>
        <w:rPr>
          <w:rFonts w:ascii="仿宋_GB2312" w:hAnsi="Times New Roman" w:eastAsia="仿宋_GB2312" w:cs="仿宋_GB2312"/>
          <w:sz w:val="32"/>
          <w:szCs w:val="32"/>
        </w:rPr>
        <w:t>年 </w:t>
      </w:r>
      <w:r>
        <w:rPr>
          <w:rFonts w:ascii="仿宋_GB2312" w:hAnsi="Times New Roman" w:eastAsia="仿宋_GB2312" w:cs="仿宋_GB2312"/>
          <w:sz w:val="32"/>
          <w:szCs w:val="32"/>
          <w:u w:val="single"/>
        </w:rPr>
        <w:t>      </w:t>
      </w:r>
      <w:r>
        <w:rPr>
          <w:rFonts w:ascii="仿宋_GB2312" w:hAnsi="Times New Roman" w:eastAsia="仿宋_GB2312" w:cs="仿宋_GB2312"/>
          <w:sz w:val="32"/>
          <w:szCs w:val="32"/>
        </w:rPr>
        <w:t>月</w:t>
      </w:r>
      <w:r>
        <w:rPr>
          <w:rFonts w:ascii="仿宋_GB2312" w:hAnsi="Times New Roman" w:eastAsia="仿宋_GB2312" w:cs="仿宋_GB2312"/>
          <w:sz w:val="32"/>
          <w:szCs w:val="32"/>
          <w:u w:val="single"/>
        </w:rPr>
        <w:t>     </w:t>
      </w:r>
      <w:r>
        <w:rPr>
          <w:rFonts w:ascii="仿宋_GB2312" w:hAnsi="Times New Roman" w:eastAsia="仿宋_GB2312" w:cs="仿宋_GB2312"/>
          <w:sz w:val="32"/>
          <w:szCs w:val="32"/>
        </w:rPr>
        <w:t>日   </w:t>
      </w:r>
    </w:p>
    <w:p>
      <w:pPr>
        <w:pStyle w:val="5"/>
        <w:widowControl/>
        <w:spacing w:beforeAutospacing="0" w:afterAutospacing="0" w:line="520" w:lineRule="exact"/>
        <w:jc w:val="both"/>
        <w:rPr>
          <w:rFonts w:ascii="Times New Roman" w:hAnsi="Times New Roman"/>
          <w:sz w:val="32"/>
          <w:szCs w:val="32"/>
        </w:rPr>
      </w:pPr>
    </w:p>
    <w:p>
      <w:pPr>
        <w:pStyle w:val="5"/>
        <w:widowControl/>
        <w:spacing w:beforeAutospacing="0" w:afterAutospacing="0" w:line="520" w:lineRule="exact"/>
        <w:ind w:firstLine="645"/>
        <w:jc w:val="both"/>
        <w:rPr>
          <w:rFonts w:ascii="Times New Roman" w:hAnsi="Times New Roman"/>
          <w:sz w:val="32"/>
          <w:szCs w:val="32"/>
        </w:rPr>
      </w:pPr>
      <w:r>
        <w:rPr>
          <w:rFonts w:ascii="仿宋_GB2312" w:hAnsi="Times New Roman" w:eastAsia="仿宋_GB2312" w:cs="仿宋_GB2312"/>
          <w:sz w:val="32"/>
          <w:szCs w:val="32"/>
        </w:rPr>
        <w:t>                                  </w:t>
      </w:r>
    </w:p>
    <w:p>
      <w:pPr>
        <w:pStyle w:val="5"/>
        <w:widowControl/>
        <w:spacing w:beforeAutospacing="0" w:afterAutospacing="0" w:line="520" w:lineRule="exact"/>
        <w:jc w:val="both"/>
        <w:rPr>
          <w:rFonts w:ascii="Times New Roman" w:hAnsi="Times New Roman"/>
          <w:sz w:val="32"/>
          <w:szCs w:val="32"/>
        </w:rPr>
      </w:pPr>
      <w:r>
        <w:rPr>
          <w:rFonts w:ascii="仿宋_GB2312" w:hAnsi="Times New Roman" w:eastAsia="仿宋_GB2312" w:cs="仿宋_GB2312"/>
          <w:sz w:val="32"/>
          <w:szCs w:val="32"/>
          <w:u w:val="single"/>
        </w:rPr>
        <w:t> </w:t>
      </w:r>
    </w:p>
    <w:p>
      <w:pPr>
        <w:pStyle w:val="5"/>
        <w:widowControl/>
        <w:spacing w:beforeAutospacing="0" w:afterAutospacing="0" w:line="520" w:lineRule="exact"/>
        <w:ind w:firstLine="645"/>
        <w:jc w:val="both"/>
        <w:rPr>
          <w:rFonts w:ascii="Times New Roman" w:hAnsi="Times New Roman"/>
          <w:sz w:val="32"/>
          <w:szCs w:val="32"/>
        </w:rPr>
      </w:pPr>
      <w:r>
        <w:rPr>
          <w:rFonts w:ascii="仿宋_GB2312" w:hAnsi="Times New Roman" w:eastAsia="仿宋_GB2312" w:cs="仿宋_GB2312"/>
          <w:sz w:val="32"/>
          <w:szCs w:val="32"/>
        </w:rPr>
        <w:t>                                   医    生：</w:t>
      </w:r>
      <w:r>
        <w:rPr>
          <w:rFonts w:ascii="仿宋_GB2312" w:hAnsi="Times New Roman" w:eastAsia="仿宋_GB2312" w:cs="仿宋_GB2312"/>
          <w:sz w:val="32"/>
          <w:szCs w:val="32"/>
          <w:u w:val="single"/>
        </w:rPr>
        <w:t>            </w:t>
      </w:r>
    </w:p>
    <w:p>
      <w:pPr>
        <w:pStyle w:val="5"/>
        <w:widowControl/>
        <w:spacing w:beforeAutospacing="0" w:afterAutospacing="0" w:line="520" w:lineRule="exact"/>
        <w:ind w:firstLine="645"/>
        <w:jc w:val="both"/>
        <w:rPr>
          <w:rFonts w:ascii="Times New Roman" w:hAnsi="Times New Roman"/>
          <w:sz w:val="32"/>
          <w:szCs w:val="32"/>
        </w:rPr>
      </w:pPr>
      <w:r>
        <w:rPr>
          <w:rFonts w:ascii="仿宋_GB2312" w:hAnsi="Times New Roman" w:eastAsia="仿宋_GB2312" w:cs="仿宋_GB2312"/>
          <w:sz w:val="32"/>
          <w:szCs w:val="32"/>
        </w:rPr>
        <w:t>                                配药药师：</w:t>
      </w:r>
      <w:r>
        <w:rPr>
          <w:rFonts w:ascii="仿宋_GB2312" w:hAnsi="Times New Roman" w:eastAsia="仿宋_GB2312" w:cs="仿宋_GB2312"/>
          <w:sz w:val="32"/>
          <w:szCs w:val="32"/>
          <w:u w:val="single"/>
        </w:rPr>
        <w:t>            </w:t>
      </w:r>
    </w:p>
    <w:p>
      <w:pPr>
        <w:pStyle w:val="5"/>
        <w:widowControl/>
        <w:spacing w:beforeAutospacing="0" w:afterAutospacing="0" w:line="520" w:lineRule="exact"/>
        <w:jc w:val="both"/>
        <w:rPr>
          <w:rFonts w:ascii="Times New Roman" w:hAnsi="Times New Roman"/>
          <w:sz w:val="32"/>
          <w:szCs w:val="32"/>
        </w:rPr>
      </w:pPr>
      <w:r>
        <w:rPr>
          <w:rFonts w:ascii="仿宋_GB2312" w:hAnsi="Times New Roman" w:eastAsia="仿宋_GB2312" w:cs="仿宋_GB2312"/>
          <w:sz w:val="32"/>
          <w:szCs w:val="32"/>
        </w:rPr>
        <w:t>收 费</w:t>
      </w:r>
      <w:r>
        <w:rPr>
          <w:rFonts w:hint="eastAsia" w:ascii="仿宋_GB2312" w:hAnsi="Times New Roman" w:eastAsia="仿宋_GB2312" w:cs="仿宋_GB2312"/>
          <w:sz w:val="32"/>
          <w:szCs w:val="32"/>
        </w:rPr>
        <w:t>（机构）</w:t>
      </w:r>
      <w:r>
        <w:rPr>
          <w:rFonts w:ascii="仿宋_GB2312" w:hAnsi="Times New Roman" w:eastAsia="仿宋_GB2312" w:cs="仿宋_GB2312"/>
          <w:sz w:val="32"/>
          <w:szCs w:val="32"/>
        </w:rPr>
        <w:t>   盖 章</w:t>
      </w:r>
      <w:r>
        <w:rPr>
          <w:rFonts w:ascii="仿宋_GB2312" w:hAnsi="Times New Roman" w:eastAsia="仿宋_GB2312" w:cs="仿宋_GB2312"/>
          <w:sz w:val="32"/>
          <w:szCs w:val="32"/>
          <w:u w:val="single"/>
        </w:rPr>
        <w:t>               </w:t>
      </w:r>
      <w:r>
        <w:rPr>
          <w:rFonts w:ascii="仿宋_GB2312" w:hAnsi="Times New Roman" w:eastAsia="仿宋_GB2312" w:cs="仿宋_GB2312"/>
          <w:sz w:val="32"/>
          <w:szCs w:val="32"/>
        </w:rPr>
        <w:t>             复核药师：</w:t>
      </w:r>
      <w:r>
        <w:rPr>
          <w:rFonts w:ascii="仿宋_GB2312" w:hAnsi="Times New Roman" w:eastAsia="仿宋_GB2312" w:cs="仿宋_GB2312"/>
          <w:sz w:val="32"/>
          <w:szCs w:val="32"/>
          <w:u w:val="single"/>
        </w:rPr>
        <w:t>             </w:t>
      </w:r>
    </w:p>
    <w:p>
      <w:pPr>
        <w:pStyle w:val="5"/>
        <w:widowControl/>
        <w:spacing w:beforeAutospacing="0" w:afterAutospacing="0" w:line="520" w:lineRule="exact"/>
        <w:jc w:val="both"/>
        <w:rPr>
          <w:rFonts w:ascii="仿宋_GB2312" w:hAnsi="Times New Roman" w:eastAsia="仿宋_GB2312" w:cs="仿宋_GB2312"/>
          <w:sz w:val="32"/>
          <w:szCs w:val="32"/>
        </w:rPr>
      </w:pPr>
      <w:r>
        <w:rPr>
          <w:rFonts w:ascii="仿宋_GB2312" w:hAnsi="Times New Roman" w:eastAsia="仿宋_GB2312" w:cs="仿宋_GB2312"/>
          <w:sz w:val="32"/>
          <w:szCs w:val="32"/>
        </w:rPr>
        <w:t>注意</w:t>
      </w:r>
      <w:r>
        <w:rPr>
          <w:rFonts w:hint="eastAsia" w:ascii="仿宋_GB2312" w:hAnsi="Times New Roman" w:eastAsia="仿宋_GB2312" w:cs="仿宋_GB2312"/>
          <w:sz w:val="32"/>
          <w:szCs w:val="32"/>
        </w:rPr>
        <w:t xml:space="preserve"> ： </w:t>
      </w:r>
      <w:r>
        <w:rPr>
          <w:rFonts w:ascii="仿宋_GB2312" w:hAnsi="Times New Roman" w:eastAsia="仿宋_GB2312" w:cs="仿宋_GB2312"/>
          <w:sz w:val="32"/>
          <w:szCs w:val="32"/>
        </w:rPr>
        <w:t>1.本处方根据有关规定由患者自愿申请开具；</w:t>
      </w:r>
    </w:p>
    <w:p>
      <w:pPr>
        <w:pStyle w:val="5"/>
        <w:widowControl/>
        <w:spacing w:beforeAutospacing="0" w:afterAutospacing="0" w:line="520" w:lineRule="exact"/>
        <w:ind w:firstLine="1300" w:firstLineChars="500"/>
        <w:jc w:val="both"/>
        <w:rPr>
          <w:rFonts w:ascii="仿宋_GB2312" w:hAnsi="Times New Roman" w:eastAsia="仿宋_GB2312" w:cs="仿宋_GB2312"/>
          <w:spacing w:val="-30"/>
          <w:sz w:val="32"/>
          <w:szCs w:val="32"/>
        </w:rPr>
      </w:pPr>
      <w:r>
        <w:rPr>
          <w:rFonts w:hint="eastAsia" w:ascii="仿宋_GB2312" w:hAnsi="Times New Roman" w:eastAsia="仿宋_GB2312" w:cs="仿宋_GB2312"/>
          <w:spacing w:val="-30"/>
          <w:sz w:val="32"/>
          <w:szCs w:val="32"/>
        </w:rPr>
        <w:t>2.</w:t>
      </w:r>
      <w:r>
        <w:rPr>
          <w:rFonts w:ascii="仿宋_GB2312" w:hAnsi="Times New Roman" w:eastAsia="仿宋_GB2312" w:cs="仿宋_GB2312"/>
          <w:spacing w:val="-30"/>
          <w:sz w:val="32"/>
          <w:szCs w:val="32"/>
        </w:rPr>
        <w:t>本处方须在上一次剩余用药量不超过15日（含）内凭本处方配取；</w:t>
      </w:r>
    </w:p>
    <w:p>
      <w:pPr>
        <w:pStyle w:val="5"/>
        <w:widowControl/>
        <w:spacing w:beforeAutospacing="0" w:afterAutospacing="0" w:line="520" w:lineRule="exact"/>
        <w:ind w:firstLine="1280" w:firstLineChars="400"/>
        <w:jc w:val="both"/>
        <w:rPr>
          <w:rFonts w:ascii="Times New Roman" w:hAnsi="Times New Roman"/>
          <w:sz w:val="32"/>
          <w:szCs w:val="32"/>
        </w:rPr>
      </w:pPr>
      <w:r>
        <w:rPr>
          <w:rFonts w:hint="eastAsia" w:ascii="仿宋_GB2312" w:hAnsi="Times New Roman" w:eastAsia="仿宋_GB2312" w:cs="仿宋_GB2312"/>
          <w:sz w:val="32"/>
          <w:szCs w:val="32"/>
        </w:rPr>
        <w:t>3.</w:t>
      </w:r>
      <w:r>
        <w:rPr>
          <w:rFonts w:ascii="仿宋_GB2312" w:hAnsi="Times New Roman" w:eastAsia="仿宋_GB2312" w:cs="仿宋_GB2312"/>
          <w:sz w:val="32"/>
          <w:szCs w:val="32"/>
        </w:rPr>
        <w:t>期间如果病情发生变化，请及时就医。</w:t>
      </w:r>
    </w:p>
    <w:p>
      <w:pPr>
        <w:pStyle w:val="5"/>
        <w:widowControl/>
        <w:spacing w:beforeAutospacing="0" w:afterAutospacing="0" w:line="520" w:lineRule="exact"/>
        <w:ind w:firstLine="555"/>
        <w:jc w:val="both"/>
        <w:rPr>
          <w:rFonts w:ascii="Times New Roman" w:hAnsi="Times New Roman"/>
          <w:sz w:val="32"/>
          <w:szCs w:val="32"/>
        </w:rPr>
      </w:pPr>
      <w:r>
        <w:rPr>
          <w:rFonts w:ascii="仿宋_GB2312" w:hAnsi="Times New Roman" w:eastAsia="仿宋_GB2312" w:cs="仿宋_GB2312"/>
          <w:sz w:val="32"/>
          <w:szCs w:val="32"/>
        </w:rPr>
        <w:t>本人已充分了解慢性病连续处方政策及注意事项，要求开具慢性病连续处方。                          处方申请人：</w:t>
      </w:r>
      <w:r>
        <w:rPr>
          <w:rFonts w:ascii="仿宋_GB2312" w:hAnsi="Times New Roman" w:eastAsia="仿宋_GB2312" w:cs="仿宋_GB2312"/>
          <w:sz w:val="32"/>
          <w:szCs w:val="32"/>
          <w:u w:val="single"/>
        </w:rPr>
        <w:t>           </w:t>
      </w:r>
    </w:p>
    <w:p>
      <w:pPr>
        <w:pStyle w:val="5"/>
        <w:widowControl/>
        <w:spacing w:beforeAutospacing="0" w:afterAutospacing="0" w:line="520" w:lineRule="exact"/>
        <w:ind w:firstLine="480"/>
        <w:jc w:val="both"/>
        <w:rPr>
          <w:rFonts w:ascii="Times New Roman" w:hAnsi="Times New Roman"/>
          <w:sz w:val="32"/>
          <w:szCs w:val="32"/>
        </w:rPr>
      </w:pPr>
      <w:r>
        <w:rPr>
          <w:rFonts w:ascii="仿宋_GB2312" w:hAnsi="Times New Roman" w:eastAsia="仿宋_GB2312" w:cs="仿宋_GB2312"/>
          <w:spacing w:val="-15"/>
          <w:sz w:val="32"/>
          <w:szCs w:val="32"/>
        </w:rPr>
        <w:t>（本处方一式二份，一份由开具处方的医疗机构留存，一份交由患者。）</w:t>
      </w:r>
    </w:p>
    <w:p>
      <w:pPr>
        <w:pStyle w:val="5"/>
        <w:widowControl/>
        <w:spacing w:beforeAutospacing="0" w:afterAutospacing="0"/>
      </w:pPr>
    </w:p>
    <w:p>
      <w:pPr>
        <w:pStyle w:val="5"/>
        <w:widowControl/>
        <w:spacing w:beforeAutospacing="0" w:afterAutospacing="0" w:line="555" w:lineRule="atLeast"/>
        <w:jc w:val="both"/>
        <w:rPr>
          <w:rFonts w:ascii="仿宋" w:hAnsi="仿宋" w:eastAsia="仿宋" w:cs="仿宋"/>
          <w:sz w:val="32"/>
          <w:szCs w:val="32"/>
        </w:rPr>
      </w:pPr>
    </w:p>
    <w:p>
      <w:pPr>
        <w:pStyle w:val="5"/>
        <w:widowControl/>
        <w:spacing w:beforeAutospacing="0" w:afterAutospacing="0" w:line="555" w:lineRule="atLeast"/>
        <w:jc w:val="both"/>
        <w:rPr>
          <w:rFonts w:ascii="仿宋" w:hAnsi="仿宋" w:eastAsia="仿宋" w:cs="仿宋"/>
          <w:sz w:val="32"/>
          <w:szCs w:val="32"/>
        </w:rPr>
      </w:pPr>
      <w:r>
        <w:rPr>
          <w:rFonts w:hint="eastAsia" w:ascii="仿宋" w:hAnsi="仿宋" w:eastAsia="仿宋" w:cs="仿宋"/>
          <w:sz w:val="32"/>
          <w:szCs w:val="32"/>
        </w:rPr>
        <w:t>附件4</w:t>
      </w:r>
    </w:p>
    <w:p>
      <w:pPr>
        <w:pStyle w:val="5"/>
        <w:widowControl/>
        <w:spacing w:beforeAutospacing="0" w:afterAutospacing="0" w:line="555" w:lineRule="atLeast"/>
        <w:ind w:left="1325" w:hanging="1325" w:hangingChars="300"/>
        <w:jc w:val="both"/>
        <w:rPr>
          <w:rFonts w:ascii="方正小标宋简体" w:hAnsi="方正小标宋简体" w:eastAsia="方正小标宋简体" w:cs="方正小标宋简体"/>
          <w:sz w:val="31"/>
          <w:szCs w:val="31"/>
        </w:rPr>
      </w:pPr>
      <w:r>
        <w:rPr>
          <w:rFonts w:hint="eastAsia" w:ascii="宋体" w:hAnsi="宋体" w:eastAsia="宋体" w:cs="宋体"/>
          <w:b/>
          <w:bCs/>
          <w:sz w:val="44"/>
          <w:szCs w:val="44"/>
        </w:rPr>
        <w:t xml:space="preserve">鄂州市城乡居民医保“两病”门诊用药保障和健康管理示范城市活动月报表          </w:t>
      </w:r>
      <w:r>
        <w:rPr>
          <w:rFonts w:hint="eastAsia" w:ascii="方正小标宋简体" w:hAnsi="方正小标宋简体" w:eastAsia="方正小标宋简体" w:cs="方正小标宋简体"/>
          <w:sz w:val="31"/>
          <w:szCs w:val="31"/>
        </w:rPr>
        <w:t xml:space="preserve">    </w:t>
      </w:r>
    </w:p>
    <w:p>
      <w:pPr>
        <w:pStyle w:val="5"/>
        <w:widowControl/>
        <w:spacing w:beforeAutospacing="0" w:afterAutospacing="0" w:line="555" w:lineRule="atLeast"/>
        <w:jc w:val="center"/>
        <w:rPr>
          <w:rFonts w:ascii="Times New Roman" w:hAnsi="Times New Roman"/>
          <w:sz w:val="21"/>
          <w:szCs w:val="21"/>
        </w:rPr>
      </w:pPr>
    </w:p>
    <w:tbl>
      <w:tblPr>
        <w:tblStyle w:val="6"/>
        <w:tblW w:w="1065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2087"/>
        <w:gridCol w:w="668"/>
        <w:gridCol w:w="668"/>
        <w:gridCol w:w="806"/>
        <w:gridCol w:w="828"/>
        <w:gridCol w:w="814"/>
        <w:gridCol w:w="806"/>
        <w:gridCol w:w="843"/>
        <w:gridCol w:w="835"/>
        <w:gridCol w:w="821"/>
        <w:gridCol w:w="806"/>
        <w:gridCol w:w="6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0" w:hRule="atLeast"/>
          <w:jc w:val="center"/>
        </w:trPr>
        <w:tc>
          <w:tcPr>
            <w:tcW w:w="2087"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疾病病种</w:t>
            </w:r>
          </w:p>
        </w:tc>
        <w:tc>
          <w:tcPr>
            <w:tcW w:w="668"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参保人数</w:t>
            </w:r>
          </w:p>
        </w:tc>
        <w:tc>
          <w:tcPr>
            <w:tcW w:w="668"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备案人数</w:t>
            </w:r>
          </w:p>
        </w:tc>
        <w:tc>
          <w:tcPr>
            <w:tcW w:w="1634"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hint="eastAsia" w:ascii="仿宋_GB2312" w:hAnsi="Times New Roman" w:eastAsia="仿宋_GB2312" w:cs="仿宋_GB2312"/>
                <w:sz w:val="28"/>
                <w:szCs w:val="28"/>
              </w:rPr>
              <w:t>一级及以下</w:t>
            </w:r>
            <w:r>
              <w:rPr>
                <w:rFonts w:ascii="仿宋_GB2312" w:hAnsi="Times New Roman" w:eastAsia="仿宋_GB2312" w:cs="仿宋_GB2312"/>
                <w:sz w:val="28"/>
                <w:szCs w:val="28"/>
              </w:rPr>
              <w:t>医疗机构</w:t>
            </w:r>
          </w:p>
        </w:tc>
        <w:tc>
          <w:tcPr>
            <w:tcW w:w="1620"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二级医疗机构</w:t>
            </w:r>
          </w:p>
        </w:tc>
        <w:tc>
          <w:tcPr>
            <w:tcW w:w="1678"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三级医疗机构</w:t>
            </w:r>
          </w:p>
        </w:tc>
        <w:tc>
          <w:tcPr>
            <w:tcW w:w="1627"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hint="eastAsia" w:ascii="仿宋_GB2312" w:hAnsi="Times New Roman" w:eastAsia="仿宋_GB2312" w:cs="仿宋_GB2312"/>
                <w:sz w:val="28"/>
                <w:szCs w:val="28"/>
              </w:rPr>
              <w:t>定点</w:t>
            </w:r>
            <w:r>
              <w:rPr>
                <w:rFonts w:ascii="仿宋_GB2312" w:hAnsi="Times New Roman" w:eastAsia="仿宋_GB2312" w:cs="仿宋_GB2312"/>
                <w:sz w:val="28"/>
                <w:szCs w:val="28"/>
              </w:rPr>
              <w:t>药店</w:t>
            </w:r>
          </w:p>
        </w:tc>
        <w:tc>
          <w:tcPr>
            <w:tcW w:w="668"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合计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0" w:hRule="atLeast"/>
          <w:jc w:val="center"/>
        </w:trPr>
        <w:tc>
          <w:tcPr>
            <w:tcW w:w="208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Times New Roman" w:hAnsi="Times New Roman" w:cs="Times New Roman"/>
                <w:sz w:val="19"/>
                <w:szCs w:val="19"/>
              </w:rPr>
            </w:pPr>
          </w:p>
        </w:tc>
        <w:tc>
          <w:tcPr>
            <w:tcW w:w="668"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rPr>
                <w:rFonts w:ascii="Times New Roman" w:hAnsi="Times New Roman" w:cs="Times New Roman"/>
                <w:sz w:val="19"/>
                <w:szCs w:val="19"/>
              </w:rPr>
            </w:pPr>
          </w:p>
        </w:tc>
        <w:tc>
          <w:tcPr>
            <w:tcW w:w="668"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医疗费</w:t>
            </w:r>
          </w:p>
        </w:tc>
        <w:tc>
          <w:tcPr>
            <w:tcW w:w="82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报销额</w:t>
            </w:r>
          </w:p>
        </w:tc>
        <w:tc>
          <w:tcPr>
            <w:tcW w:w="8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医疗费</w:t>
            </w: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报销额</w:t>
            </w:r>
          </w:p>
        </w:tc>
        <w:tc>
          <w:tcPr>
            <w:tcW w:w="843"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医疗费</w:t>
            </w:r>
          </w:p>
        </w:tc>
        <w:tc>
          <w:tcPr>
            <w:tcW w:w="83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报销额</w:t>
            </w:r>
          </w:p>
        </w:tc>
        <w:tc>
          <w:tcPr>
            <w:tcW w:w="821"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医疗费</w:t>
            </w:r>
          </w:p>
        </w:tc>
        <w:tc>
          <w:tcPr>
            <w:tcW w:w="806"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报销额</w:t>
            </w:r>
          </w:p>
        </w:tc>
        <w:tc>
          <w:tcPr>
            <w:tcW w:w="668"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208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rFonts w:ascii="仿宋" w:hAnsi="仿宋" w:eastAsia="仿宋" w:cs="仿宋"/>
                <w:sz w:val="30"/>
                <w:szCs w:val="30"/>
              </w:rPr>
            </w:pPr>
            <w:r>
              <w:rPr>
                <w:rFonts w:hint="eastAsia" w:ascii="仿宋" w:hAnsi="仿宋" w:eastAsia="仿宋" w:cs="仿宋"/>
                <w:sz w:val="30"/>
                <w:szCs w:val="30"/>
              </w:rPr>
              <w:t>普通高血压</w:t>
            </w: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43"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35"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1"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208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rFonts w:ascii="仿宋" w:hAnsi="仿宋" w:eastAsia="仿宋" w:cs="仿宋"/>
                <w:sz w:val="30"/>
                <w:szCs w:val="30"/>
              </w:rPr>
            </w:pPr>
            <w:r>
              <w:rPr>
                <w:rFonts w:hint="eastAsia" w:ascii="仿宋" w:hAnsi="仿宋" w:eastAsia="仿宋" w:cs="仿宋"/>
                <w:sz w:val="30"/>
                <w:szCs w:val="30"/>
              </w:rPr>
              <w:t>普通糖尿病</w:t>
            </w: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43"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35"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1"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208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rFonts w:ascii="仿宋" w:hAnsi="仿宋" w:eastAsia="仿宋" w:cs="仿宋"/>
                <w:sz w:val="30"/>
                <w:szCs w:val="30"/>
              </w:rPr>
            </w:pPr>
            <w:r>
              <w:rPr>
                <w:rFonts w:hint="eastAsia" w:ascii="仿宋" w:hAnsi="仿宋" w:eastAsia="仿宋" w:cs="仿宋"/>
                <w:sz w:val="30"/>
                <w:szCs w:val="30"/>
              </w:rPr>
              <w:t>合计</w:t>
            </w: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43"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35"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1"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208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rFonts w:ascii="仿宋" w:hAnsi="仿宋" w:eastAsia="仿宋" w:cs="仿宋"/>
                <w:sz w:val="30"/>
                <w:szCs w:val="30"/>
              </w:rPr>
            </w:pPr>
            <w:r>
              <w:rPr>
                <w:rFonts w:hint="eastAsia" w:ascii="仿宋" w:hAnsi="仿宋" w:eastAsia="仿宋" w:cs="仿宋"/>
                <w:sz w:val="30"/>
                <w:szCs w:val="30"/>
              </w:rPr>
              <w:t>重症高血压</w:t>
            </w: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43"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35"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1"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2087" w:type="dxa"/>
            <w:tcBorders>
              <w:top w:val="nil"/>
              <w:left w:val="single" w:color="auto" w:sz="6" w:space="0"/>
              <w:bottom w:val="nil"/>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rFonts w:ascii="仿宋" w:hAnsi="仿宋" w:eastAsia="仿宋" w:cs="仿宋"/>
                <w:sz w:val="30"/>
                <w:szCs w:val="30"/>
              </w:rPr>
            </w:pPr>
            <w:r>
              <w:rPr>
                <w:rFonts w:hint="eastAsia" w:ascii="仿宋" w:hAnsi="仿宋" w:eastAsia="仿宋" w:cs="仿宋"/>
                <w:sz w:val="30"/>
                <w:szCs w:val="30"/>
              </w:rPr>
              <w:t>重症糖尿病</w:t>
            </w:r>
          </w:p>
        </w:tc>
        <w:tc>
          <w:tcPr>
            <w:tcW w:w="668"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8"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14"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43"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35"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1"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208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555" w:lineRule="atLeast"/>
              <w:ind w:firstLine="555"/>
              <w:jc w:val="center"/>
              <w:rPr>
                <w:rFonts w:ascii="仿宋" w:hAnsi="仿宋" w:eastAsia="仿宋" w:cs="仿宋"/>
                <w:sz w:val="30"/>
                <w:szCs w:val="30"/>
              </w:rPr>
            </w:pPr>
            <w:r>
              <w:rPr>
                <w:rFonts w:hint="eastAsia" w:ascii="仿宋" w:hAnsi="仿宋" w:eastAsia="仿宋" w:cs="仿宋"/>
                <w:sz w:val="30"/>
                <w:szCs w:val="30"/>
              </w:rPr>
              <w:t>合  计</w:t>
            </w: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43"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35"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1"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r>
    </w:tbl>
    <w:p>
      <w:pPr>
        <w:pStyle w:val="5"/>
        <w:widowControl/>
        <w:spacing w:beforeAutospacing="0" w:afterAutospacing="0" w:line="555" w:lineRule="atLeast"/>
        <w:jc w:val="both"/>
        <w:rPr>
          <w:rFonts w:ascii="Times New Roman" w:hAnsi="Times New Roman"/>
          <w:sz w:val="21"/>
          <w:szCs w:val="21"/>
        </w:rPr>
      </w:pPr>
      <w:r>
        <w:rPr>
          <w:rFonts w:ascii="仿宋_GB2312" w:hAnsi="Times New Roman" w:eastAsia="仿宋_GB2312" w:cs="仿宋_GB2312"/>
          <w:sz w:val="28"/>
          <w:szCs w:val="28"/>
        </w:rPr>
        <w:t>填报单位：</w:t>
      </w:r>
      <w:r>
        <w:rPr>
          <w:rFonts w:ascii="仿宋_GB2312" w:hAnsi="Times New Roman" w:eastAsia="仿宋_GB2312" w:cs="仿宋_GB2312"/>
          <w:sz w:val="28"/>
          <w:szCs w:val="28"/>
          <w:u w:val="single"/>
        </w:rPr>
        <w:t>       </w:t>
      </w:r>
      <w:r>
        <w:rPr>
          <w:rFonts w:ascii="仿宋_GB2312" w:hAnsi="Times New Roman" w:eastAsia="仿宋_GB2312" w:cs="仿宋_GB2312"/>
          <w:sz w:val="28"/>
          <w:szCs w:val="28"/>
        </w:rPr>
        <w:t>     填报人：         审核人：        填报日期：</w:t>
      </w:r>
    </w:p>
    <w:p>
      <w:pPr>
        <w:pStyle w:val="5"/>
        <w:widowControl/>
        <w:spacing w:beforeAutospacing="0" w:afterAutospacing="0"/>
      </w:pPr>
    </w:p>
    <w:p/>
    <w:p>
      <w:pPr>
        <w:pStyle w:val="5"/>
        <w:widowControl/>
        <w:spacing w:beforeAutospacing="0" w:afterAutospacing="0" w:line="555" w:lineRule="atLeast"/>
        <w:jc w:val="both"/>
        <w:rPr>
          <w:rFonts w:ascii="黑体" w:hAnsi="宋体" w:eastAsia="黑体" w:cs="黑体"/>
          <w:sz w:val="31"/>
          <w:szCs w:val="31"/>
        </w:rPr>
      </w:pPr>
    </w:p>
    <w:p>
      <w:pPr>
        <w:pStyle w:val="5"/>
        <w:widowControl/>
        <w:spacing w:beforeAutospacing="0" w:afterAutospacing="0" w:line="555" w:lineRule="atLeast"/>
        <w:jc w:val="both"/>
        <w:rPr>
          <w:rFonts w:ascii="黑体" w:hAnsi="宋体" w:eastAsia="黑体" w:cs="黑体"/>
          <w:sz w:val="31"/>
          <w:szCs w:val="31"/>
        </w:rPr>
      </w:pPr>
    </w:p>
    <w:p>
      <w:pPr>
        <w:pStyle w:val="5"/>
        <w:widowControl/>
        <w:spacing w:beforeAutospacing="0" w:afterAutospacing="0" w:line="555" w:lineRule="atLeast"/>
        <w:jc w:val="both"/>
        <w:rPr>
          <w:rFonts w:ascii="黑体" w:hAnsi="宋体" w:eastAsia="黑体" w:cs="黑体"/>
          <w:sz w:val="31"/>
          <w:szCs w:val="31"/>
        </w:rPr>
      </w:pPr>
    </w:p>
    <w:p>
      <w:pPr>
        <w:pStyle w:val="5"/>
        <w:widowControl/>
        <w:spacing w:beforeAutospacing="0" w:afterAutospacing="0" w:line="555" w:lineRule="atLeast"/>
        <w:jc w:val="both"/>
        <w:rPr>
          <w:rFonts w:ascii="黑体" w:hAnsi="宋体" w:eastAsia="黑体" w:cs="黑体"/>
          <w:sz w:val="31"/>
          <w:szCs w:val="31"/>
        </w:rPr>
      </w:pPr>
    </w:p>
    <w:p>
      <w:pPr>
        <w:pStyle w:val="5"/>
        <w:widowControl/>
        <w:spacing w:beforeAutospacing="0" w:afterAutospacing="0" w:line="555" w:lineRule="atLeast"/>
        <w:jc w:val="both"/>
        <w:rPr>
          <w:rFonts w:ascii="仿宋" w:hAnsi="仿宋" w:eastAsia="仿宋" w:cs="仿宋"/>
          <w:sz w:val="31"/>
          <w:szCs w:val="31"/>
        </w:rPr>
      </w:pPr>
    </w:p>
    <w:p>
      <w:pPr>
        <w:pStyle w:val="5"/>
        <w:widowControl/>
        <w:spacing w:beforeAutospacing="0" w:afterAutospacing="0" w:line="555" w:lineRule="atLeast"/>
        <w:jc w:val="both"/>
        <w:rPr>
          <w:rFonts w:ascii="仿宋" w:hAnsi="仿宋" w:eastAsia="仿宋" w:cs="仿宋"/>
          <w:sz w:val="21"/>
          <w:szCs w:val="21"/>
        </w:rPr>
      </w:pPr>
      <w:r>
        <w:rPr>
          <w:rFonts w:hint="eastAsia" w:ascii="仿宋" w:hAnsi="仿宋" w:eastAsia="仿宋" w:cs="仿宋"/>
          <w:sz w:val="31"/>
          <w:szCs w:val="31"/>
        </w:rPr>
        <w:t>附件5</w:t>
      </w:r>
    </w:p>
    <w:p>
      <w:pPr>
        <w:pStyle w:val="5"/>
        <w:widowControl/>
        <w:spacing w:beforeAutospacing="0" w:afterAutospacing="0" w:line="555" w:lineRule="atLeast"/>
        <w:ind w:left="883" w:hanging="883" w:hangingChars="200"/>
        <w:jc w:val="both"/>
        <w:rPr>
          <w:rFonts w:ascii="方正小标宋简体" w:hAnsi="方正小标宋简体" w:eastAsia="方正小标宋简体" w:cs="方正小标宋简体"/>
          <w:sz w:val="31"/>
          <w:szCs w:val="31"/>
        </w:rPr>
      </w:pPr>
      <w:r>
        <w:rPr>
          <w:rFonts w:hint="eastAsia" w:ascii="宋体" w:hAnsi="宋体" w:eastAsia="宋体" w:cs="宋体"/>
          <w:b/>
          <w:bCs/>
          <w:sz w:val="44"/>
          <w:szCs w:val="44"/>
        </w:rPr>
        <w:t xml:space="preserve">鄂州市城镇职工医保“两病”门诊用药保障和健康管理示范城市活动月报表         </w:t>
      </w:r>
      <w:r>
        <w:rPr>
          <w:rFonts w:hint="eastAsia" w:ascii="方正小标宋简体" w:hAnsi="方正小标宋简体" w:eastAsia="方正小标宋简体" w:cs="方正小标宋简体"/>
          <w:sz w:val="31"/>
          <w:szCs w:val="31"/>
        </w:rPr>
        <w:t xml:space="preserve">     </w:t>
      </w:r>
    </w:p>
    <w:p>
      <w:pPr>
        <w:pStyle w:val="5"/>
        <w:widowControl/>
        <w:spacing w:beforeAutospacing="0" w:afterAutospacing="0" w:line="555" w:lineRule="atLeast"/>
        <w:jc w:val="center"/>
        <w:rPr>
          <w:rFonts w:ascii="Times New Roman" w:hAnsi="Times New Roman"/>
          <w:sz w:val="21"/>
          <w:szCs w:val="21"/>
        </w:rPr>
      </w:pPr>
    </w:p>
    <w:tbl>
      <w:tblPr>
        <w:tblStyle w:val="6"/>
        <w:tblW w:w="1065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2087"/>
        <w:gridCol w:w="668"/>
        <w:gridCol w:w="668"/>
        <w:gridCol w:w="806"/>
        <w:gridCol w:w="828"/>
        <w:gridCol w:w="814"/>
        <w:gridCol w:w="806"/>
        <w:gridCol w:w="843"/>
        <w:gridCol w:w="835"/>
        <w:gridCol w:w="821"/>
        <w:gridCol w:w="806"/>
        <w:gridCol w:w="6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0" w:hRule="atLeast"/>
          <w:jc w:val="center"/>
        </w:trPr>
        <w:tc>
          <w:tcPr>
            <w:tcW w:w="2087"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疾病病种</w:t>
            </w:r>
          </w:p>
        </w:tc>
        <w:tc>
          <w:tcPr>
            <w:tcW w:w="668"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参保人数</w:t>
            </w:r>
          </w:p>
        </w:tc>
        <w:tc>
          <w:tcPr>
            <w:tcW w:w="668"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备案人数</w:t>
            </w:r>
          </w:p>
        </w:tc>
        <w:tc>
          <w:tcPr>
            <w:tcW w:w="1634"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hint="eastAsia" w:ascii="仿宋_GB2312" w:hAnsi="Times New Roman" w:eastAsia="仿宋_GB2312" w:cs="仿宋_GB2312"/>
                <w:sz w:val="28"/>
                <w:szCs w:val="28"/>
              </w:rPr>
              <w:t>一级及以下</w:t>
            </w:r>
            <w:r>
              <w:rPr>
                <w:rFonts w:ascii="仿宋_GB2312" w:hAnsi="Times New Roman" w:eastAsia="仿宋_GB2312" w:cs="仿宋_GB2312"/>
                <w:sz w:val="28"/>
                <w:szCs w:val="28"/>
              </w:rPr>
              <w:t>医疗机构</w:t>
            </w:r>
          </w:p>
        </w:tc>
        <w:tc>
          <w:tcPr>
            <w:tcW w:w="1620"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二级医疗机构</w:t>
            </w:r>
          </w:p>
        </w:tc>
        <w:tc>
          <w:tcPr>
            <w:tcW w:w="1678"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三级医疗机构</w:t>
            </w:r>
          </w:p>
        </w:tc>
        <w:tc>
          <w:tcPr>
            <w:tcW w:w="1627"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hint="eastAsia" w:ascii="仿宋_GB2312" w:hAnsi="Times New Roman" w:eastAsia="仿宋_GB2312" w:cs="仿宋_GB2312"/>
                <w:sz w:val="28"/>
                <w:szCs w:val="28"/>
              </w:rPr>
              <w:t>定点</w:t>
            </w:r>
            <w:r>
              <w:rPr>
                <w:rFonts w:ascii="仿宋_GB2312" w:hAnsi="Times New Roman" w:eastAsia="仿宋_GB2312" w:cs="仿宋_GB2312"/>
                <w:sz w:val="28"/>
                <w:szCs w:val="28"/>
              </w:rPr>
              <w:t>药店</w:t>
            </w:r>
          </w:p>
        </w:tc>
        <w:tc>
          <w:tcPr>
            <w:tcW w:w="668"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合计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0" w:hRule="atLeast"/>
          <w:jc w:val="center"/>
        </w:trPr>
        <w:tc>
          <w:tcPr>
            <w:tcW w:w="208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Times New Roman" w:hAnsi="Times New Roman" w:cs="Times New Roman"/>
                <w:sz w:val="19"/>
                <w:szCs w:val="19"/>
              </w:rPr>
            </w:pPr>
          </w:p>
        </w:tc>
        <w:tc>
          <w:tcPr>
            <w:tcW w:w="668"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rPr>
                <w:rFonts w:ascii="Times New Roman" w:hAnsi="Times New Roman" w:cs="Times New Roman"/>
                <w:sz w:val="19"/>
                <w:szCs w:val="19"/>
              </w:rPr>
            </w:pPr>
          </w:p>
        </w:tc>
        <w:tc>
          <w:tcPr>
            <w:tcW w:w="668"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医疗费</w:t>
            </w:r>
          </w:p>
        </w:tc>
        <w:tc>
          <w:tcPr>
            <w:tcW w:w="82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报销额</w:t>
            </w:r>
          </w:p>
        </w:tc>
        <w:tc>
          <w:tcPr>
            <w:tcW w:w="8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医疗费</w:t>
            </w: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报销额</w:t>
            </w:r>
          </w:p>
        </w:tc>
        <w:tc>
          <w:tcPr>
            <w:tcW w:w="843"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医疗费</w:t>
            </w:r>
          </w:p>
        </w:tc>
        <w:tc>
          <w:tcPr>
            <w:tcW w:w="83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报销额</w:t>
            </w:r>
          </w:p>
        </w:tc>
        <w:tc>
          <w:tcPr>
            <w:tcW w:w="821"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医疗费</w:t>
            </w:r>
          </w:p>
        </w:tc>
        <w:tc>
          <w:tcPr>
            <w:tcW w:w="806"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报销额</w:t>
            </w:r>
          </w:p>
        </w:tc>
        <w:tc>
          <w:tcPr>
            <w:tcW w:w="668"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208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rFonts w:ascii="仿宋" w:hAnsi="仿宋" w:eastAsia="仿宋" w:cs="仿宋"/>
                <w:sz w:val="30"/>
                <w:szCs w:val="30"/>
              </w:rPr>
            </w:pPr>
            <w:r>
              <w:rPr>
                <w:rFonts w:hint="eastAsia" w:ascii="仿宋" w:hAnsi="仿宋" w:eastAsia="仿宋" w:cs="仿宋"/>
                <w:sz w:val="30"/>
                <w:szCs w:val="30"/>
              </w:rPr>
              <w:t>普通高血压</w:t>
            </w: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43"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35"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1"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208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rFonts w:ascii="仿宋" w:hAnsi="仿宋" w:eastAsia="仿宋" w:cs="仿宋"/>
                <w:sz w:val="30"/>
                <w:szCs w:val="30"/>
              </w:rPr>
            </w:pPr>
            <w:r>
              <w:rPr>
                <w:rFonts w:hint="eastAsia" w:ascii="仿宋" w:hAnsi="仿宋" w:eastAsia="仿宋" w:cs="仿宋"/>
                <w:sz w:val="30"/>
                <w:szCs w:val="30"/>
              </w:rPr>
              <w:t>普通糖尿病</w:t>
            </w: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43"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35"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1"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208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rFonts w:ascii="仿宋" w:hAnsi="仿宋" w:eastAsia="仿宋" w:cs="仿宋"/>
                <w:sz w:val="30"/>
                <w:szCs w:val="30"/>
              </w:rPr>
            </w:pPr>
            <w:r>
              <w:rPr>
                <w:rFonts w:hint="eastAsia" w:ascii="仿宋" w:hAnsi="仿宋" w:eastAsia="仿宋" w:cs="仿宋"/>
                <w:sz w:val="30"/>
                <w:szCs w:val="30"/>
              </w:rPr>
              <w:t>合计</w:t>
            </w: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43"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35"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1"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208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rFonts w:ascii="仿宋" w:hAnsi="仿宋" w:eastAsia="仿宋" w:cs="仿宋"/>
                <w:sz w:val="30"/>
                <w:szCs w:val="30"/>
              </w:rPr>
            </w:pPr>
            <w:r>
              <w:rPr>
                <w:rFonts w:hint="eastAsia" w:ascii="仿宋" w:hAnsi="仿宋" w:eastAsia="仿宋" w:cs="仿宋"/>
                <w:sz w:val="30"/>
                <w:szCs w:val="30"/>
              </w:rPr>
              <w:t>重症高血压</w:t>
            </w: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43"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35"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1"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2087" w:type="dxa"/>
            <w:tcBorders>
              <w:top w:val="nil"/>
              <w:left w:val="single" w:color="auto" w:sz="6" w:space="0"/>
              <w:bottom w:val="nil"/>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rFonts w:ascii="仿宋" w:hAnsi="仿宋" w:eastAsia="仿宋" w:cs="仿宋"/>
                <w:sz w:val="30"/>
                <w:szCs w:val="30"/>
              </w:rPr>
            </w:pPr>
            <w:r>
              <w:rPr>
                <w:rFonts w:hint="eastAsia" w:ascii="仿宋" w:hAnsi="仿宋" w:eastAsia="仿宋" w:cs="仿宋"/>
                <w:sz w:val="30"/>
                <w:szCs w:val="30"/>
              </w:rPr>
              <w:t>重症糖尿病</w:t>
            </w:r>
          </w:p>
        </w:tc>
        <w:tc>
          <w:tcPr>
            <w:tcW w:w="668"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8"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14"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43"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35"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1"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208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555" w:lineRule="atLeast"/>
              <w:ind w:firstLine="555"/>
              <w:jc w:val="center"/>
              <w:rPr>
                <w:rFonts w:ascii="仿宋" w:hAnsi="仿宋" w:eastAsia="仿宋" w:cs="仿宋"/>
                <w:sz w:val="30"/>
                <w:szCs w:val="30"/>
              </w:rPr>
            </w:pPr>
            <w:r>
              <w:rPr>
                <w:rFonts w:hint="eastAsia" w:ascii="仿宋" w:hAnsi="仿宋" w:eastAsia="仿宋" w:cs="仿宋"/>
                <w:sz w:val="30"/>
                <w:szCs w:val="30"/>
              </w:rPr>
              <w:t>合  计</w:t>
            </w: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43"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35"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1"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r>
    </w:tbl>
    <w:p>
      <w:pPr>
        <w:pStyle w:val="5"/>
        <w:widowControl/>
        <w:spacing w:beforeAutospacing="0" w:afterAutospacing="0" w:line="555" w:lineRule="atLeast"/>
        <w:jc w:val="both"/>
        <w:rPr>
          <w:rFonts w:ascii="Times New Roman" w:hAnsi="Times New Roman"/>
          <w:sz w:val="21"/>
          <w:szCs w:val="21"/>
        </w:rPr>
      </w:pPr>
      <w:r>
        <w:rPr>
          <w:rFonts w:ascii="仿宋_GB2312" w:hAnsi="Times New Roman" w:eastAsia="仿宋_GB2312" w:cs="仿宋_GB2312"/>
          <w:sz w:val="28"/>
          <w:szCs w:val="28"/>
        </w:rPr>
        <w:t>填报单位：</w:t>
      </w:r>
      <w:r>
        <w:rPr>
          <w:rFonts w:ascii="仿宋_GB2312" w:hAnsi="Times New Roman" w:eastAsia="仿宋_GB2312" w:cs="仿宋_GB2312"/>
          <w:sz w:val="28"/>
          <w:szCs w:val="28"/>
          <w:u w:val="single"/>
        </w:rPr>
        <w:t>       </w:t>
      </w:r>
      <w:r>
        <w:rPr>
          <w:rFonts w:ascii="仿宋_GB2312" w:hAnsi="Times New Roman" w:eastAsia="仿宋_GB2312" w:cs="仿宋_GB2312"/>
          <w:sz w:val="28"/>
          <w:szCs w:val="28"/>
        </w:rPr>
        <w:t>     填报人：         审核人：        填报日期：</w:t>
      </w:r>
    </w:p>
    <w:p>
      <w:pPr>
        <w:pStyle w:val="5"/>
        <w:widowControl/>
        <w:spacing w:beforeAutospacing="0" w:afterAutospacing="0"/>
      </w:pPr>
    </w:p>
    <w:p/>
    <w:p>
      <w:pPr>
        <w:pStyle w:val="5"/>
        <w:widowControl/>
        <w:spacing w:beforeAutospacing="0" w:afterAutospacing="0" w:line="555" w:lineRule="atLeast"/>
        <w:jc w:val="both"/>
        <w:rPr>
          <w:rFonts w:ascii="黑体" w:hAnsi="宋体" w:eastAsia="黑体" w:cs="黑体"/>
          <w:sz w:val="31"/>
          <w:szCs w:val="31"/>
        </w:rPr>
      </w:pPr>
    </w:p>
    <w:p>
      <w:pPr>
        <w:pStyle w:val="5"/>
        <w:widowControl/>
        <w:spacing w:beforeAutospacing="0" w:afterAutospacing="0" w:line="555" w:lineRule="atLeast"/>
        <w:jc w:val="both"/>
        <w:rPr>
          <w:rFonts w:ascii="黑体" w:hAnsi="宋体" w:eastAsia="黑体" w:cs="黑体"/>
          <w:sz w:val="31"/>
          <w:szCs w:val="31"/>
        </w:rPr>
      </w:pPr>
    </w:p>
    <w:p>
      <w:pPr>
        <w:pStyle w:val="5"/>
        <w:widowControl/>
        <w:spacing w:beforeAutospacing="0" w:afterAutospacing="0" w:line="555" w:lineRule="atLeast"/>
        <w:jc w:val="both"/>
        <w:rPr>
          <w:rFonts w:ascii="黑体" w:hAnsi="宋体" w:eastAsia="黑体" w:cs="黑体"/>
          <w:sz w:val="31"/>
          <w:szCs w:val="31"/>
        </w:rPr>
      </w:pPr>
    </w:p>
    <w:p>
      <w:pPr>
        <w:pStyle w:val="5"/>
        <w:widowControl/>
        <w:spacing w:beforeAutospacing="0" w:afterAutospacing="0" w:line="555" w:lineRule="atLeast"/>
        <w:jc w:val="both"/>
        <w:rPr>
          <w:rFonts w:ascii="黑体" w:hAnsi="宋体" w:eastAsia="黑体" w:cs="黑体"/>
          <w:sz w:val="31"/>
          <w:szCs w:val="31"/>
        </w:rPr>
      </w:pPr>
    </w:p>
    <w:p>
      <w:pPr>
        <w:pStyle w:val="5"/>
        <w:widowControl/>
        <w:spacing w:beforeAutospacing="0" w:afterAutospacing="0" w:line="555" w:lineRule="atLeast"/>
        <w:jc w:val="both"/>
        <w:rPr>
          <w:rFonts w:ascii="黑体" w:hAnsi="宋体" w:eastAsia="黑体" w:cs="黑体"/>
          <w:sz w:val="31"/>
          <w:szCs w:val="31"/>
        </w:rPr>
      </w:pPr>
    </w:p>
    <w:p>
      <w:pPr>
        <w:pStyle w:val="5"/>
        <w:widowControl/>
        <w:spacing w:beforeAutospacing="0" w:afterAutospacing="0" w:line="555" w:lineRule="atLeast"/>
        <w:jc w:val="both"/>
        <w:rPr>
          <w:rFonts w:ascii="仿宋" w:hAnsi="仿宋" w:eastAsia="仿宋" w:cs="仿宋"/>
          <w:sz w:val="21"/>
          <w:szCs w:val="21"/>
        </w:rPr>
      </w:pPr>
      <w:r>
        <w:rPr>
          <w:rFonts w:hint="eastAsia" w:ascii="仿宋" w:hAnsi="仿宋" w:eastAsia="仿宋" w:cs="仿宋"/>
          <w:sz w:val="31"/>
          <w:szCs w:val="31"/>
        </w:rPr>
        <w:t>附件6</w:t>
      </w:r>
    </w:p>
    <w:p>
      <w:pPr>
        <w:pStyle w:val="5"/>
        <w:widowControl/>
        <w:spacing w:beforeAutospacing="0" w:afterAutospacing="0" w:line="555" w:lineRule="atLeast"/>
        <w:ind w:left="883" w:hanging="883" w:hangingChars="200"/>
        <w:jc w:val="both"/>
        <w:rPr>
          <w:rFonts w:ascii="方正小标宋简体" w:hAnsi="方正小标宋简体" w:eastAsia="方正小标宋简体" w:cs="方正小标宋简体"/>
          <w:sz w:val="31"/>
          <w:szCs w:val="31"/>
        </w:rPr>
      </w:pPr>
      <w:r>
        <w:rPr>
          <w:rFonts w:hint="eastAsia" w:ascii="宋体" w:hAnsi="宋体" w:eastAsia="宋体" w:cs="宋体"/>
          <w:b/>
          <w:bCs/>
          <w:sz w:val="44"/>
          <w:szCs w:val="44"/>
        </w:rPr>
        <w:t xml:space="preserve">鄂州市城镇职工补充医保“两病”门诊用药保障和健康管理示范城市活动月报表     </w:t>
      </w:r>
      <w:r>
        <w:rPr>
          <w:rFonts w:hint="eastAsia" w:ascii="方正小标宋简体" w:hAnsi="方正小标宋简体" w:eastAsia="方正小标宋简体" w:cs="方正小标宋简体"/>
          <w:sz w:val="31"/>
          <w:szCs w:val="31"/>
        </w:rPr>
        <w:t xml:space="preserve">         </w:t>
      </w:r>
    </w:p>
    <w:p>
      <w:pPr>
        <w:pStyle w:val="5"/>
        <w:widowControl/>
        <w:spacing w:beforeAutospacing="0" w:afterAutospacing="0" w:line="555" w:lineRule="atLeast"/>
        <w:jc w:val="center"/>
        <w:rPr>
          <w:rFonts w:ascii="Times New Roman" w:hAnsi="Times New Roman"/>
          <w:sz w:val="21"/>
          <w:szCs w:val="21"/>
        </w:rPr>
      </w:pPr>
    </w:p>
    <w:tbl>
      <w:tblPr>
        <w:tblStyle w:val="6"/>
        <w:tblW w:w="1065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2087"/>
        <w:gridCol w:w="668"/>
        <w:gridCol w:w="668"/>
        <w:gridCol w:w="806"/>
        <w:gridCol w:w="828"/>
        <w:gridCol w:w="814"/>
        <w:gridCol w:w="806"/>
        <w:gridCol w:w="843"/>
        <w:gridCol w:w="835"/>
        <w:gridCol w:w="821"/>
        <w:gridCol w:w="806"/>
        <w:gridCol w:w="6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0" w:hRule="atLeast"/>
          <w:jc w:val="center"/>
        </w:trPr>
        <w:tc>
          <w:tcPr>
            <w:tcW w:w="2087"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疾病病种</w:t>
            </w:r>
          </w:p>
        </w:tc>
        <w:tc>
          <w:tcPr>
            <w:tcW w:w="668"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参保人数</w:t>
            </w:r>
          </w:p>
        </w:tc>
        <w:tc>
          <w:tcPr>
            <w:tcW w:w="668"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备案人数</w:t>
            </w:r>
          </w:p>
        </w:tc>
        <w:tc>
          <w:tcPr>
            <w:tcW w:w="1634"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hint="eastAsia" w:ascii="仿宋_GB2312" w:hAnsi="Times New Roman" w:eastAsia="仿宋_GB2312" w:cs="仿宋_GB2312"/>
                <w:sz w:val="28"/>
                <w:szCs w:val="28"/>
              </w:rPr>
              <w:t>一级及以下</w:t>
            </w:r>
            <w:r>
              <w:rPr>
                <w:rFonts w:ascii="仿宋_GB2312" w:hAnsi="Times New Roman" w:eastAsia="仿宋_GB2312" w:cs="仿宋_GB2312"/>
                <w:sz w:val="28"/>
                <w:szCs w:val="28"/>
              </w:rPr>
              <w:t>医疗机构</w:t>
            </w:r>
          </w:p>
        </w:tc>
        <w:tc>
          <w:tcPr>
            <w:tcW w:w="1620"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二级医疗机构</w:t>
            </w:r>
          </w:p>
        </w:tc>
        <w:tc>
          <w:tcPr>
            <w:tcW w:w="1678"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三级医疗机构</w:t>
            </w:r>
          </w:p>
        </w:tc>
        <w:tc>
          <w:tcPr>
            <w:tcW w:w="1627"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hint="eastAsia" w:ascii="仿宋_GB2312" w:hAnsi="Times New Roman" w:eastAsia="仿宋_GB2312" w:cs="仿宋_GB2312"/>
                <w:sz w:val="28"/>
                <w:szCs w:val="28"/>
              </w:rPr>
              <w:t>定点</w:t>
            </w:r>
            <w:r>
              <w:rPr>
                <w:rFonts w:ascii="仿宋_GB2312" w:hAnsi="Times New Roman" w:eastAsia="仿宋_GB2312" w:cs="仿宋_GB2312"/>
                <w:sz w:val="28"/>
                <w:szCs w:val="28"/>
              </w:rPr>
              <w:t>药店</w:t>
            </w:r>
          </w:p>
        </w:tc>
        <w:tc>
          <w:tcPr>
            <w:tcW w:w="668"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合计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0" w:hRule="atLeast"/>
          <w:jc w:val="center"/>
        </w:trPr>
        <w:tc>
          <w:tcPr>
            <w:tcW w:w="208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Times New Roman" w:hAnsi="Times New Roman" w:cs="Times New Roman"/>
                <w:sz w:val="19"/>
                <w:szCs w:val="19"/>
              </w:rPr>
            </w:pPr>
          </w:p>
        </w:tc>
        <w:tc>
          <w:tcPr>
            <w:tcW w:w="668"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rPr>
                <w:rFonts w:ascii="Times New Roman" w:hAnsi="Times New Roman" w:cs="Times New Roman"/>
                <w:sz w:val="19"/>
                <w:szCs w:val="19"/>
              </w:rPr>
            </w:pPr>
          </w:p>
        </w:tc>
        <w:tc>
          <w:tcPr>
            <w:tcW w:w="668"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医疗费</w:t>
            </w:r>
          </w:p>
        </w:tc>
        <w:tc>
          <w:tcPr>
            <w:tcW w:w="82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报销额</w:t>
            </w:r>
          </w:p>
        </w:tc>
        <w:tc>
          <w:tcPr>
            <w:tcW w:w="8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医疗费</w:t>
            </w: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报销额</w:t>
            </w:r>
          </w:p>
        </w:tc>
        <w:tc>
          <w:tcPr>
            <w:tcW w:w="843"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医疗费</w:t>
            </w:r>
          </w:p>
        </w:tc>
        <w:tc>
          <w:tcPr>
            <w:tcW w:w="83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报销额</w:t>
            </w:r>
          </w:p>
        </w:tc>
        <w:tc>
          <w:tcPr>
            <w:tcW w:w="821"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医疗费</w:t>
            </w:r>
          </w:p>
        </w:tc>
        <w:tc>
          <w:tcPr>
            <w:tcW w:w="806"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sz w:val="21"/>
                <w:szCs w:val="21"/>
              </w:rPr>
            </w:pPr>
            <w:r>
              <w:rPr>
                <w:rFonts w:ascii="仿宋_GB2312" w:hAnsi="Times New Roman" w:eastAsia="仿宋_GB2312" w:cs="仿宋_GB2312"/>
                <w:sz w:val="28"/>
                <w:szCs w:val="28"/>
              </w:rPr>
              <w:t>报销额</w:t>
            </w:r>
          </w:p>
        </w:tc>
        <w:tc>
          <w:tcPr>
            <w:tcW w:w="668"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208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rFonts w:ascii="仿宋" w:hAnsi="仿宋" w:eastAsia="仿宋" w:cs="仿宋"/>
                <w:sz w:val="30"/>
                <w:szCs w:val="30"/>
              </w:rPr>
            </w:pPr>
            <w:r>
              <w:rPr>
                <w:rFonts w:hint="eastAsia" w:ascii="仿宋" w:hAnsi="仿宋" w:eastAsia="仿宋" w:cs="仿宋"/>
                <w:sz w:val="30"/>
                <w:szCs w:val="30"/>
              </w:rPr>
              <w:t>普通高血压</w:t>
            </w: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43"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35"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1"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208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rFonts w:ascii="仿宋" w:hAnsi="仿宋" w:eastAsia="仿宋" w:cs="仿宋"/>
                <w:sz w:val="30"/>
                <w:szCs w:val="30"/>
              </w:rPr>
            </w:pPr>
            <w:r>
              <w:rPr>
                <w:rFonts w:hint="eastAsia" w:ascii="仿宋" w:hAnsi="仿宋" w:eastAsia="仿宋" w:cs="仿宋"/>
                <w:sz w:val="30"/>
                <w:szCs w:val="30"/>
              </w:rPr>
              <w:t>普通糖尿病</w:t>
            </w: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43"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35"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1"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208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rFonts w:ascii="仿宋" w:hAnsi="仿宋" w:eastAsia="仿宋" w:cs="仿宋"/>
                <w:sz w:val="30"/>
                <w:szCs w:val="30"/>
              </w:rPr>
            </w:pPr>
            <w:r>
              <w:rPr>
                <w:rFonts w:hint="eastAsia" w:ascii="仿宋" w:hAnsi="仿宋" w:eastAsia="仿宋" w:cs="仿宋"/>
                <w:sz w:val="30"/>
                <w:szCs w:val="30"/>
              </w:rPr>
              <w:t>合计</w:t>
            </w: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43"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35"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1"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208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rFonts w:ascii="仿宋" w:hAnsi="仿宋" w:eastAsia="仿宋" w:cs="仿宋"/>
                <w:sz w:val="30"/>
                <w:szCs w:val="30"/>
              </w:rPr>
            </w:pPr>
            <w:r>
              <w:rPr>
                <w:rFonts w:hint="eastAsia" w:ascii="仿宋" w:hAnsi="仿宋" w:eastAsia="仿宋" w:cs="仿宋"/>
                <w:sz w:val="30"/>
                <w:szCs w:val="30"/>
              </w:rPr>
              <w:t>重症高血压</w:t>
            </w: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43"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35"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1"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2087" w:type="dxa"/>
            <w:tcBorders>
              <w:top w:val="nil"/>
              <w:left w:val="single" w:color="auto" w:sz="6" w:space="0"/>
              <w:bottom w:val="nil"/>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555" w:lineRule="atLeast"/>
              <w:jc w:val="center"/>
              <w:rPr>
                <w:rFonts w:ascii="仿宋" w:hAnsi="仿宋" w:eastAsia="仿宋" w:cs="仿宋"/>
                <w:sz w:val="30"/>
                <w:szCs w:val="30"/>
              </w:rPr>
            </w:pPr>
            <w:r>
              <w:rPr>
                <w:rFonts w:hint="eastAsia" w:ascii="仿宋" w:hAnsi="仿宋" w:eastAsia="仿宋" w:cs="仿宋"/>
                <w:sz w:val="30"/>
                <w:szCs w:val="30"/>
              </w:rPr>
              <w:t>重症糖尿病</w:t>
            </w:r>
          </w:p>
        </w:tc>
        <w:tc>
          <w:tcPr>
            <w:tcW w:w="668"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8"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14"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43"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35"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1"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nil"/>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208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555" w:lineRule="atLeast"/>
              <w:ind w:firstLine="555"/>
              <w:jc w:val="center"/>
              <w:rPr>
                <w:rFonts w:ascii="仿宋" w:hAnsi="仿宋" w:eastAsia="仿宋" w:cs="仿宋"/>
                <w:sz w:val="30"/>
                <w:szCs w:val="30"/>
              </w:rPr>
            </w:pPr>
            <w:r>
              <w:rPr>
                <w:rFonts w:hint="eastAsia" w:ascii="仿宋" w:hAnsi="仿宋" w:eastAsia="仿宋" w:cs="仿宋"/>
                <w:sz w:val="30"/>
                <w:szCs w:val="30"/>
              </w:rPr>
              <w:t>合  计</w:t>
            </w: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43"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35"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21"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c>
          <w:tcPr>
            <w:tcW w:w="66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jc w:val="left"/>
              <w:rPr>
                <w:rFonts w:ascii="Times New Roman" w:hAnsi="Times New Roman" w:cs="Times New Roman"/>
                <w:sz w:val="19"/>
                <w:szCs w:val="19"/>
              </w:rPr>
            </w:pPr>
          </w:p>
        </w:tc>
      </w:tr>
    </w:tbl>
    <w:p>
      <w:pPr>
        <w:pStyle w:val="5"/>
        <w:widowControl/>
        <w:spacing w:beforeAutospacing="0" w:afterAutospacing="0" w:line="555" w:lineRule="atLeast"/>
        <w:jc w:val="both"/>
        <w:rPr>
          <w:rFonts w:ascii="Times New Roman" w:hAnsi="Times New Roman"/>
          <w:sz w:val="21"/>
          <w:szCs w:val="21"/>
        </w:rPr>
      </w:pPr>
      <w:r>
        <w:rPr>
          <w:rFonts w:ascii="仿宋_GB2312" w:hAnsi="Times New Roman" w:eastAsia="仿宋_GB2312" w:cs="仿宋_GB2312"/>
          <w:sz w:val="28"/>
          <w:szCs w:val="28"/>
        </w:rPr>
        <w:t>填报单位：</w:t>
      </w:r>
      <w:r>
        <w:rPr>
          <w:rFonts w:ascii="仿宋_GB2312" w:hAnsi="Times New Roman" w:eastAsia="仿宋_GB2312" w:cs="仿宋_GB2312"/>
          <w:sz w:val="28"/>
          <w:szCs w:val="28"/>
          <w:u w:val="single"/>
        </w:rPr>
        <w:t>       </w:t>
      </w:r>
      <w:r>
        <w:rPr>
          <w:rFonts w:ascii="仿宋_GB2312" w:hAnsi="Times New Roman" w:eastAsia="仿宋_GB2312" w:cs="仿宋_GB2312"/>
          <w:sz w:val="28"/>
          <w:szCs w:val="28"/>
        </w:rPr>
        <w:t>     填报人：         审核人：        填报日期：</w:t>
      </w:r>
    </w:p>
    <w:p>
      <w:pPr>
        <w:pStyle w:val="5"/>
        <w:widowControl/>
        <w:spacing w:beforeAutospacing="0" w:afterAutospacing="0"/>
      </w:pPr>
    </w:p>
    <w:p>
      <w:pPr>
        <w:pStyle w:val="5"/>
        <w:widowControl/>
        <w:spacing w:beforeAutospacing="0" w:afterAutospacing="0"/>
      </w:pPr>
    </w:p>
    <w:p>
      <w:pPr>
        <w:pStyle w:val="5"/>
        <w:widowControl/>
        <w:spacing w:beforeAutospacing="0" w:afterAutospacing="0"/>
      </w:pPr>
    </w:p>
    <w:p>
      <w:pPr>
        <w:pStyle w:val="5"/>
        <w:widowControl/>
        <w:spacing w:beforeAutospacing="0" w:afterAutospacing="0"/>
      </w:pPr>
    </w:p>
    <w:p>
      <w:pPr>
        <w:pStyle w:val="5"/>
        <w:widowControl/>
        <w:spacing w:beforeAutospacing="0" w:afterAutospacing="0"/>
      </w:pPr>
    </w:p>
    <w:p>
      <w:pPr>
        <w:pStyle w:val="5"/>
        <w:widowControl/>
        <w:spacing w:beforeAutospacing="0" w:afterAutospacing="0"/>
      </w:pPr>
    </w:p>
    <w:p>
      <w:pPr>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 xml:space="preserve">附件7  </w:t>
      </w:r>
    </w:p>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鄂州市参保人员“两病”情况统计表</w:t>
      </w:r>
    </w:p>
    <w:tbl>
      <w:tblPr>
        <w:tblStyle w:val="7"/>
        <w:tblpPr w:leftFromText="180" w:rightFromText="180" w:vertAnchor="page" w:horzAnchor="margin" w:tblpXSpec="center" w:tblpY="3451"/>
        <w:tblW w:w="10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093"/>
        <w:gridCol w:w="1027"/>
        <w:gridCol w:w="1027"/>
        <w:gridCol w:w="1027"/>
        <w:gridCol w:w="1027"/>
        <w:gridCol w:w="1027"/>
        <w:gridCol w:w="1027"/>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846" w:type="dxa"/>
            <w:vMerge w:val="restart"/>
            <w:vAlign w:val="center"/>
          </w:tcPr>
          <w:p>
            <w:pPr>
              <w:spacing w:line="400" w:lineRule="exact"/>
              <w:rPr>
                <w:rFonts w:ascii="宋体" w:hAnsi="宋体" w:eastAsia="宋体"/>
                <w:sz w:val="30"/>
                <w:szCs w:val="30"/>
              </w:rPr>
            </w:pPr>
            <w:r>
              <w:rPr>
                <w:rFonts w:hint="eastAsia" w:ascii="宋体" w:hAnsi="宋体" w:eastAsia="宋体"/>
                <w:sz w:val="30"/>
                <w:szCs w:val="30"/>
              </w:rPr>
              <w:t>序号</w:t>
            </w:r>
          </w:p>
        </w:tc>
        <w:tc>
          <w:tcPr>
            <w:tcW w:w="2093" w:type="dxa"/>
            <w:vMerge w:val="restart"/>
            <w:vAlign w:val="center"/>
          </w:tcPr>
          <w:p>
            <w:pPr>
              <w:spacing w:line="400" w:lineRule="exact"/>
              <w:rPr>
                <w:rFonts w:ascii="宋体" w:hAnsi="宋体" w:eastAsia="宋体"/>
                <w:sz w:val="30"/>
                <w:szCs w:val="30"/>
              </w:rPr>
            </w:pPr>
            <w:r>
              <w:rPr>
                <w:rFonts w:hint="eastAsia" w:ascii="宋体" w:hAnsi="宋体" w:eastAsia="宋体"/>
                <w:sz w:val="30"/>
                <w:szCs w:val="30"/>
              </w:rPr>
              <w:t>填报单位</w:t>
            </w:r>
          </w:p>
        </w:tc>
        <w:tc>
          <w:tcPr>
            <w:tcW w:w="3081" w:type="dxa"/>
            <w:gridSpan w:val="3"/>
            <w:vAlign w:val="center"/>
          </w:tcPr>
          <w:p>
            <w:pPr>
              <w:spacing w:line="400" w:lineRule="exact"/>
              <w:rPr>
                <w:rFonts w:ascii="宋体" w:hAnsi="宋体" w:eastAsia="宋体"/>
                <w:sz w:val="30"/>
                <w:szCs w:val="30"/>
              </w:rPr>
            </w:pPr>
            <w:r>
              <w:rPr>
                <w:rFonts w:hint="eastAsia" w:ascii="宋体" w:hAnsi="宋体" w:eastAsia="宋体"/>
                <w:sz w:val="30"/>
                <w:szCs w:val="30"/>
              </w:rPr>
              <w:t>纳入“高血压“管理人员情况统计（人数）</w:t>
            </w:r>
          </w:p>
        </w:tc>
        <w:tc>
          <w:tcPr>
            <w:tcW w:w="3081" w:type="dxa"/>
            <w:gridSpan w:val="3"/>
            <w:vAlign w:val="center"/>
          </w:tcPr>
          <w:p>
            <w:pPr>
              <w:spacing w:line="400" w:lineRule="exact"/>
              <w:rPr>
                <w:rFonts w:ascii="宋体" w:hAnsi="宋体" w:eastAsia="宋体"/>
                <w:sz w:val="30"/>
                <w:szCs w:val="30"/>
              </w:rPr>
            </w:pPr>
            <w:r>
              <w:rPr>
                <w:rFonts w:hint="eastAsia" w:ascii="宋体" w:hAnsi="宋体" w:eastAsia="宋体"/>
                <w:sz w:val="30"/>
                <w:szCs w:val="30"/>
              </w:rPr>
              <w:t>纳入“糖尿病“管理人员情况统计（人数）</w:t>
            </w:r>
          </w:p>
        </w:tc>
        <w:tc>
          <w:tcPr>
            <w:tcW w:w="1110" w:type="dxa"/>
            <w:vMerge w:val="restart"/>
            <w:vAlign w:val="center"/>
          </w:tcPr>
          <w:p>
            <w:pPr>
              <w:spacing w:line="400" w:lineRule="exact"/>
              <w:rPr>
                <w:rFonts w:ascii="宋体" w:hAnsi="宋体" w:eastAsia="宋体"/>
                <w:sz w:val="30"/>
                <w:szCs w:val="30"/>
              </w:rPr>
            </w:pPr>
            <w:r>
              <w:rPr>
                <w:rFonts w:hint="eastAsia" w:ascii="宋体" w:hAnsi="宋体" w:eastAsia="宋体"/>
                <w:sz w:val="30"/>
                <w:szCs w:val="3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spacing w:line="400" w:lineRule="exact"/>
            </w:pPr>
          </w:p>
        </w:tc>
        <w:tc>
          <w:tcPr>
            <w:tcW w:w="2093" w:type="dxa"/>
            <w:vMerge w:val="continue"/>
            <w:vAlign w:val="center"/>
          </w:tcPr>
          <w:p>
            <w:pPr>
              <w:spacing w:line="400" w:lineRule="exact"/>
            </w:pPr>
          </w:p>
        </w:tc>
        <w:tc>
          <w:tcPr>
            <w:tcW w:w="1027" w:type="dxa"/>
            <w:vAlign w:val="center"/>
          </w:tcPr>
          <w:p>
            <w:pPr>
              <w:spacing w:line="400" w:lineRule="exact"/>
              <w:rPr>
                <w:rFonts w:ascii="宋体" w:hAnsi="宋体" w:eastAsia="宋体"/>
                <w:sz w:val="30"/>
                <w:szCs w:val="30"/>
              </w:rPr>
            </w:pPr>
            <w:r>
              <w:rPr>
                <w:rFonts w:hint="eastAsia" w:ascii="宋体" w:hAnsi="宋体" w:eastAsia="宋体"/>
                <w:sz w:val="30"/>
                <w:szCs w:val="30"/>
              </w:rPr>
              <w:t>门诊重慢病</w:t>
            </w:r>
          </w:p>
        </w:tc>
        <w:tc>
          <w:tcPr>
            <w:tcW w:w="1027" w:type="dxa"/>
            <w:vAlign w:val="center"/>
          </w:tcPr>
          <w:p>
            <w:pPr>
              <w:spacing w:line="400" w:lineRule="exact"/>
              <w:rPr>
                <w:rFonts w:ascii="宋体" w:hAnsi="宋体" w:eastAsia="宋体"/>
                <w:sz w:val="30"/>
                <w:szCs w:val="30"/>
              </w:rPr>
            </w:pPr>
            <w:r>
              <w:rPr>
                <w:rFonts w:hint="eastAsia" w:ascii="宋体" w:hAnsi="宋体" w:eastAsia="宋体"/>
                <w:sz w:val="30"/>
                <w:szCs w:val="30"/>
              </w:rPr>
              <w:t>普通高血压</w:t>
            </w:r>
          </w:p>
        </w:tc>
        <w:tc>
          <w:tcPr>
            <w:tcW w:w="1027" w:type="dxa"/>
            <w:vAlign w:val="center"/>
          </w:tcPr>
          <w:p>
            <w:pPr>
              <w:spacing w:line="400" w:lineRule="exact"/>
              <w:rPr>
                <w:rFonts w:ascii="宋体" w:hAnsi="宋体" w:eastAsia="宋体"/>
                <w:sz w:val="30"/>
                <w:szCs w:val="30"/>
              </w:rPr>
            </w:pPr>
            <w:r>
              <w:rPr>
                <w:rFonts w:hint="eastAsia" w:ascii="宋体" w:hAnsi="宋体" w:eastAsia="宋体"/>
                <w:sz w:val="30"/>
                <w:szCs w:val="30"/>
              </w:rPr>
              <w:t>合计</w:t>
            </w:r>
          </w:p>
        </w:tc>
        <w:tc>
          <w:tcPr>
            <w:tcW w:w="1027" w:type="dxa"/>
            <w:vAlign w:val="center"/>
          </w:tcPr>
          <w:p>
            <w:pPr>
              <w:spacing w:line="400" w:lineRule="exact"/>
              <w:rPr>
                <w:rFonts w:ascii="宋体" w:hAnsi="宋体" w:eastAsia="宋体"/>
                <w:sz w:val="30"/>
                <w:szCs w:val="30"/>
              </w:rPr>
            </w:pPr>
            <w:r>
              <w:rPr>
                <w:rFonts w:hint="eastAsia" w:ascii="宋体" w:hAnsi="宋体" w:eastAsia="宋体"/>
                <w:sz w:val="30"/>
                <w:szCs w:val="30"/>
              </w:rPr>
              <w:t>门诊重慢病</w:t>
            </w:r>
          </w:p>
        </w:tc>
        <w:tc>
          <w:tcPr>
            <w:tcW w:w="1027" w:type="dxa"/>
            <w:vAlign w:val="center"/>
          </w:tcPr>
          <w:p>
            <w:pPr>
              <w:spacing w:line="400" w:lineRule="exact"/>
              <w:rPr>
                <w:rFonts w:ascii="宋体" w:hAnsi="宋体" w:eastAsia="宋体"/>
                <w:sz w:val="30"/>
                <w:szCs w:val="30"/>
              </w:rPr>
            </w:pPr>
            <w:r>
              <w:rPr>
                <w:rFonts w:hint="eastAsia" w:ascii="宋体" w:hAnsi="宋体" w:eastAsia="宋体"/>
                <w:sz w:val="30"/>
                <w:szCs w:val="30"/>
              </w:rPr>
              <w:t>普通糖尿病</w:t>
            </w:r>
          </w:p>
        </w:tc>
        <w:tc>
          <w:tcPr>
            <w:tcW w:w="1027" w:type="dxa"/>
            <w:vAlign w:val="center"/>
          </w:tcPr>
          <w:p>
            <w:pPr>
              <w:spacing w:line="400" w:lineRule="exact"/>
              <w:rPr>
                <w:rFonts w:ascii="宋体" w:hAnsi="宋体" w:eastAsia="宋体"/>
                <w:sz w:val="30"/>
                <w:szCs w:val="30"/>
              </w:rPr>
            </w:pPr>
            <w:r>
              <w:rPr>
                <w:rFonts w:hint="eastAsia" w:ascii="宋体" w:hAnsi="宋体" w:eastAsia="宋体"/>
                <w:sz w:val="30"/>
                <w:szCs w:val="30"/>
              </w:rPr>
              <w:t>合计</w:t>
            </w:r>
          </w:p>
        </w:tc>
        <w:tc>
          <w:tcPr>
            <w:tcW w:w="1110" w:type="dxa"/>
            <w:vMerge w:val="continue"/>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46" w:type="dxa"/>
            <w:vAlign w:val="center"/>
          </w:tcPr>
          <w:p>
            <w:pPr>
              <w:rPr>
                <w:rFonts w:ascii="宋体" w:hAnsi="宋体" w:eastAsia="宋体"/>
                <w:sz w:val="32"/>
                <w:szCs w:val="36"/>
              </w:rPr>
            </w:pPr>
            <w:r>
              <w:rPr>
                <w:rFonts w:hint="eastAsia" w:ascii="宋体" w:hAnsi="宋体" w:eastAsia="宋体"/>
                <w:sz w:val="32"/>
                <w:szCs w:val="36"/>
              </w:rPr>
              <w:t>1</w:t>
            </w:r>
          </w:p>
        </w:tc>
        <w:tc>
          <w:tcPr>
            <w:tcW w:w="2093" w:type="dxa"/>
            <w:vAlign w:val="center"/>
          </w:tcPr>
          <w:p/>
        </w:tc>
        <w:tc>
          <w:tcPr>
            <w:tcW w:w="1027" w:type="dxa"/>
            <w:vAlign w:val="center"/>
          </w:tcPr>
          <w:p/>
        </w:tc>
        <w:tc>
          <w:tcPr>
            <w:tcW w:w="1027" w:type="dxa"/>
            <w:vAlign w:val="center"/>
          </w:tcPr>
          <w:p/>
        </w:tc>
        <w:tc>
          <w:tcPr>
            <w:tcW w:w="1027" w:type="dxa"/>
            <w:vAlign w:val="center"/>
          </w:tcPr>
          <w:p/>
        </w:tc>
        <w:tc>
          <w:tcPr>
            <w:tcW w:w="1027" w:type="dxa"/>
            <w:vAlign w:val="center"/>
          </w:tcPr>
          <w:p/>
        </w:tc>
        <w:tc>
          <w:tcPr>
            <w:tcW w:w="1027" w:type="dxa"/>
            <w:vAlign w:val="center"/>
          </w:tcPr>
          <w:p/>
        </w:tc>
        <w:tc>
          <w:tcPr>
            <w:tcW w:w="1027" w:type="dxa"/>
            <w:vAlign w:val="center"/>
          </w:tcPr>
          <w:p/>
        </w:tc>
        <w:tc>
          <w:tcPr>
            <w:tcW w:w="111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46" w:type="dxa"/>
            <w:vAlign w:val="center"/>
          </w:tcPr>
          <w:p>
            <w:pPr>
              <w:rPr>
                <w:rFonts w:ascii="宋体" w:hAnsi="宋体" w:eastAsia="宋体"/>
                <w:sz w:val="32"/>
                <w:szCs w:val="36"/>
              </w:rPr>
            </w:pPr>
            <w:r>
              <w:rPr>
                <w:rFonts w:hint="eastAsia" w:ascii="宋体" w:hAnsi="宋体" w:eastAsia="宋体"/>
                <w:sz w:val="32"/>
                <w:szCs w:val="36"/>
              </w:rPr>
              <w:t>2</w:t>
            </w:r>
          </w:p>
        </w:tc>
        <w:tc>
          <w:tcPr>
            <w:tcW w:w="2093" w:type="dxa"/>
            <w:vAlign w:val="center"/>
          </w:tcPr>
          <w:p/>
        </w:tc>
        <w:tc>
          <w:tcPr>
            <w:tcW w:w="1027" w:type="dxa"/>
            <w:vAlign w:val="center"/>
          </w:tcPr>
          <w:p/>
        </w:tc>
        <w:tc>
          <w:tcPr>
            <w:tcW w:w="1027" w:type="dxa"/>
            <w:vAlign w:val="center"/>
          </w:tcPr>
          <w:p/>
        </w:tc>
        <w:tc>
          <w:tcPr>
            <w:tcW w:w="1027" w:type="dxa"/>
            <w:vAlign w:val="center"/>
          </w:tcPr>
          <w:p/>
        </w:tc>
        <w:tc>
          <w:tcPr>
            <w:tcW w:w="1027" w:type="dxa"/>
            <w:vAlign w:val="center"/>
          </w:tcPr>
          <w:p/>
        </w:tc>
        <w:tc>
          <w:tcPr>
            <w:tcW w:w="1027" w:type="dxa"/>
            <w:vAlign w:val="center"/>
          </w:tcPr>
          <w:p/>
        </w:tc>
        <w:tc>
          <w:tcPr>
            <w:tcW w:w="1027" w:type="dxa"/>
            <w:vAlign w:val="center"/>
          </w:tcPr>
          <w:p/>
        </w:tc>
        <w:tc>
          <w:tcPr>
            <w:tcW w:w="111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46" w:type="dxa"/>
            <w:vAlign w:val="center"/>
          </w:tcPr>
          <w:p>
            <w:pPr>
              <w:rPr>
                <w:rFonts w:ascii="宋体" w:hAnsi="宋体" w:eastAsia="宋体"/>
                <w:sz w:val="32"/>
                <w:szCs w:val="36"/>
              </w:rPr>
            </w:pPr>
            <w:r>
              <w:rPr>
                <w:rFonts w:hint="eastAsia" w:ascii="宋体" w:hAnsi="宋体" w:eastAsia="宋体"/>
                <w:sz w:val="32"/>
                <w:szCs w:val="36"/>
              </w:rPr>
              <w:t>3</w:t>
            </w:r>
          </w:p>
        </w:tc>
        <w:tc>
          <w:tcPr>
            <w:tcW w:w="2093" w:type="dxa"/>
            <w:vAlign w:val="center"/>
          </w:tcPr>
          <w:p/>
        </w:tc>
        <w:tc>
          <w:tcPr>
            <w:tcW w:w="1027" w:type="dxa"/>
            <w:vAlign w:val="center"/>
          </w:tcPr>
          <w:p/>
        </w:tc>
        <w:tc>
          <w:tcPr>
            <w:tcW w:w="1027" w:type="dxa"/>
            <w:vAlign w:val="center"/>
          </w:tcPr>
          <w:p/>
        </w:tc>
        <w:tc>
          <w:tcPr>
            <w:tcW w:w="1027" w:type="dxa"/>
            <w:vAlign w:val="center"/>
          </w:tcPr>
          <w:p/>
        </w:tc>
        <w:tc>
          <w:tcPr>
            <w:tcW w:w="1027" w:type="dxa"/>
            <w:vAlign w:val="center"/>
          </w:tcPr>
          <w:p/>
        </w:tc>
        <w:tc>
          <w:tcPr>
            <w:tcW w:w="1027" w:type="dxa"/>
            <w:vAlign w:val="center"/>
          </w:tcPr>
          <w:p/>
        </w:tc>
        <w:tc>
          <w:tcPr>
            <w:tcW w:w="1027" w:type="dxa"/>
            <w:vAlign w:val="center"/>
          </w:tcPr>
          <w:p/>
        </w:tc>
        <w:tc>
          <w:tcPr>
            <w:tcW w:w="111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46" w:type="dxa"/>
            <w:vAlign w:val="center"/>
          </w:tcPr>
          <w:p>
            <w:pPr>
              <w:rPr>
                <w:rFonts w:ascii="宋体" w:hAnsi="宋体" w:eastAsia="宋体"/>
                <w:sz w:val="32"/>
                <w:szCs w:val="36"/>
              </w:rPr>
            </w:pPr>
            <w:r>
              <w:rPr>
                <w:rFonts w:hint="eastAsia" w:ascii="宋体" w:hAnsi="宋体" w:eastAsia="宋体"/>
                <w:sz w:val="32"/>
                <w:szCs w:val="36"/>
              </w:rPr>
              <w:t>4</w:t>
            </w:r>
          </w:p>
        </w:tc>
        <w:tc>
          <w:tcPr>
            <w:tcW w:w="2093" w:type="dxa"/>
            <w:vAlign w:val="center"/>
          </w:tcPr>
          <w:p/>
        </w:tc>
        <w:tc>
          <w:tcPr>
            <w:tcW w:w="1027" w:type="dxa"/>
            <w:vAlign w:val="center"/>
          </w:tcPr>
          <w:p/>
        </w:tc>
        <w:tc>
          <w:tcPr>
            <w:tcW w:w="1027" w:type="dxa"/>
            <w:vAlign w:val="center"/>
          </w:tcPr>
          <w:p/>
        </w:tc>
        <w:tc>
          <w:tcPr>
            <w:tcW w:w="1027" w:type="dxa"/>
            <w:vAlign w:val="center"/>
          </w:tcPr>
          <w:p/>
        </w:tc>
        <w:tc>
          <w:tcPr>
            <w:tcW w:w="1027" w:type="dxa"/>
            <w:vAlign w:val="center"/>
          </w:tcPr>
          <w:p/>
        </w:tc>
        <w:tc>
          <w:tcPr>
            <w:tcW w:w="1027" w:type="dxa"/>
            <w:vAlign w:val="center"/>
          </w:tcPr>
          <w:p/>
        </w:tc>
        <w:tc>
          <w:tcPr>
            <w:tcW w:w="1027" w:type="dxa"/>
            <w:vAlign w:val="center"/>
          </w:tcPr>
          <w:p/>
        </w:tc>
        <w:tc>
          <w:tcPr>
            <w:tcW w:w="111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46" w:type="dxa"/>
            <w:vAlign w:val="center"/>
          </w:tcPr>
          <w:p>
            <w:pPr>
              <w:rPr>
                <w:rFonts w:ascii="宋体" w:hAnsi="宋体" w:eastAsia="宋体"/>
                <w:sz w:val="32"/>
                <w:szCs w:val="36"/>
              </w:rPr>
            </w:pPr>
            <w:r>
              <w:rPr>
                <w:rFonts w:hint="eastAsia" w:ascii="宋体" w:hAnsi="宋体" w:eastAsia="宋体"/>
                <w:sz w:val="32"/>
                <w:szCs w:val="36"/>
              </w:rPr>
              <w:t>5</w:t>
            </w:r>
          </w:p>
        </w:tc>
        <w:tc>
          <w:tcPr>
            <w:tcW w:w="2093" w:type="dxa"/>
            <w:vAlign w:val="center"/>
          </w:tcPr>
          <w:p/>
        </w:tc>
        <w:tc>
          <w:tcPr>
            <w:tcW w:w="1027" w:type="dxa"/>
            <w:vAlign w:val="center"/>
          </w:tcPr>
          <w:p/>
        </w:tc>
        <w:tc>
          <w:tcPr>
            <w:tcW w:w="1027" w:type="dxa"/>
            <w:vAlign w:val="center"/>
          </w:tcPr>
          <w:p/>
        </w:tc>
        <w:tc>
          <w:tcPr>
            <w:tcW w:w="1027" w:type="dxa"/>
            <w:vAlign w:val="center"/>
          </w:tcPr>
          <w:p/>
        </w:tc>
        <w:tc>
          <w:tcPr>
            <w:tcW w:w="1027" w:type="dxa"/>
            <w:vAlign w:val="center"/>
          </w:tcPr>
          <w:p/>
        </w:tc>
        <w:tc>
          <w:tcPr>
            <w:tcW w:w="1027" w:type="dxa"/>
            <w:vAlign w:val="center"/>
          </w:tcPr>
          <w:p/>
        </w:tc>
        <w:tc>
          <w:tcPr>
            <w:tcW w:w="1027" w:type="dxa"/>
            <w:vAlign w:val="center"/>
          </w:tcPr>
          <w:p/>
        </w:tc>
        <w:tc>
          <w:tcPr>
            <w:tcW w:w="111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46" w:type="dxa"/>
            <w:vAlign w:val="center"/>
          </w:tcPr>
          <w:p>
            <w:pPr>
              <w:rPr>
                <w:rFonts w:ascii="宋体" w:hAnsi="宋体" w:eastAsia="宋体"/>
                <w:sz w:val="32"/>
                <w:szCs w:val="36"/>
              </w:rPr>
            </w:pPr>
            <w:r>
              <w:rPr>
                <w:rFonts w:hint="eastAsia" w:ascii="宋体" w:hAnsi="宋体" w:eastAsia="宋体"/>
                <w:sz w:val="32"/>
                <w:szCs w:val="36"/>
              </w:rPr>
              <w:t>6</w:t>
            </w:r>
          </w:p>
        </w:tc>
        <w:tc>
          <w:tcPr>
            <w:tcW w:w="2093" w:type="dxa"/>
            <w:vAlign w:val="center"/>
          </w:tcPr>
          <w:p/>
        </w:tc>
        <w:tc>
          <w:tcPr>
            <w:tcW w:w="1027" w:type="dxa"/>
            <w:vAlign w:val="center"/>
          </w:tcPr>
          <w:p/>
        </w:tc>
        <w:tc>
          <w:tcPr>
            <w:tcW w:w="1027" w:type="dxa"/>
            <w:vAlign w:val="center"/>
          </w:tcPr>
          <w:p/>
        </w:tc>
        <w:tc>
          <w:tcPr>
            <w:tcW w:w="1027" w:type="dxa"/>
            <w:vAlign w:val="center"/>
          </w:tcPr>
          <w:p/>
        </w:tc>
        <w:tc>
          <w:tcPr>
            <w:tcW w:w="1027" w:type="dxa"/>
            <w:vAlign w:val="center"/>
          </w:tcPr>
          <w:p/>
        </w:tc>
        <w:tc>
          <w:tcPr>
            <w:tcW w:w="1027" w:type="dxa"/>
            <w:vAlign w:val="center"/>
          </w:tcPr>
          <w:p/>
        </w:tc>
        <w:tc>
          <w:tcPr>
            <w:tcW w:w="1027" w:type="dxa"/>
            <w:vAlign w:val="center"/>
          </w:tcPr>
          <w:p/>
        </w:tc>
        <w:tc>
          <w:tcPr>
            <w:tcW w:w="111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939" w:type="dxa"/>
            <w:gridSpan w:val="2"/>
            <w:vAlign w:val="center"/>
          </w:tcPr>
          <w:p>
            <w:pPr>
              <w:jc w:val="center"/>
            </w:pPr>
            <w:r>
              <w:rPr>
                <w:rFonts w:hint="eastAsia" w:ascii="宋体" w:hAnsi="宋体" w:eastAsia="宋体"/>
                <w:sz w:val="30"/>
                <w:szCs w:val="30"/>
              </w:rPr>
              <w:t>合计</w:t>
            </w:r>
          </w:p>
        </w:tc>
        <w:tc>
          <w:tcPr>
            <w:tcW w:w="1027" w:type="dxa"/>
            <w:vAlign w:val="center"/>
          </w:tcPr>
          <w:p/>
        </w:tc>
        <w:tc>
          <w:tcPr>
            <w:tcW w:w="1027" w:type="dxa"/>
            <w:vAlign w:val="center"/>
          </w:tcPr>
          <w:p/>
        </w:tc>
        <w:tc>
          <w:tcPr>
            <w:tcW w:w="1027" w:type="dxa"/>
            <w:vAlign w:val="center"/>
          </w:tcPr>
          <w:p/>
        </w:tc>
        <w:tc>
          <w:tcPr>
            <w:tcW w:w="1027" w:type="dxa"/>
            <w:vAlign w:val="center"/>
          </w:tcPr>
          <w:p/>
        </w:tc>
        <w:tc>
          <w:tcPr>
            <w:tcW w:w="1027" w:type="dxa"/>
            <w:vAlign w:val="center"/>
          </w:tcPr>
          <w:p/>
        </w:tc>
        <w:tc>
          <w:tcPr>
            <w:tcW w:w="1027" w:type="dxa"/>
            <w:vAlign w:val="center"/>
          </w:tcPr>
          <w:p/>
        </w:tc>
        <w:tc>
          <w:tcPr>
            <w:tcW w:w="1110" w:type="dxa"/>
            <w:vAlign w:val="center"/>
          </w:tcPr>
          <w:p/>
        </w:tc>
      </w:tr>
    </w:tbl>
    <w:p>
      <w:pPr>
        <w:pStyle w:val="5"/>
        <w:widowControl/>
        <w:spacing w:beforeAutospacing="0" w:afterAutospacing="0" w:line="560" w:lineRule="exact"/>
      </w:pPr>
    </w:p>
    <w:p/>
    <w:sectPr>
      <w:pgSz w:w="11906" w:h="16838"/>
      <w:pgMar w:top="1723" w:right="1746" w:bottom="1723" w:left="174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ESI仿宋-GB2312">
    <w:altName w:val="仿宋"/>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7DB98F"/>
    <w:multiLevelType w:val="singleLevel"/>
    <w:tmpl w:val="837DB98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38783D"/>
    <w:rsid w:val="003B225E"/>
    <w:rsid w:val="0084679F"/>
    <w:rsid w:val="00855A81"/>
    <w:rsid w:val="009E598D"/>
    <w:rsid w:val="01350C3E"/>
    <w:rsid w:val="05867DA3"/>
    <w:rsid w:val="05BE5CFE"/>
    <w:rsid w:val="0938783D"/>
    <w:rsid w:val="19C36C4A"/>
    <w:rsid w:val="1DAC071D"/>
    <w:rsid w:val="2D7642D4"/>
    <w:rsid w:val="2E457C3D"/>
    <w:rsid w:val="2F497E43"/>
    <w:rsid w:val="2FC7436D"/>
    <w:rsid w:val="35907008"/>
    <w:rsid w:val="37571D0D"/>
    <w:rsid w:val="383D0E8E"/>
    <w:rsid w:val="45915C85"/>
    <w:rsid w:val="4E562742"/>
    <w:rsid w:val="54492912"/>
    <w:rsid w:val="56FF02E8"/>
    <w:rsid w:val="5BDA18DE"/>
    <w:rsid w:val="66094F92"/>
    <w:rsid w:val="7E012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line="415" w:lineRule="auto"/>
      <w:outlineLvl w:val="2"/>
    </w:pPr>
    <w:rPr>
      <w:b/>
      <w:bCs/>
      <w:sz w:val="32"/>
      <w:szCs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index 5"/>
    <w:basedOn w:val="1"/>
    <w:next w:val="1"/>
    <w:qFormat/>
    <w:uiPriority w:val="0"/>
    <w:pPr>
      <w:ind w:left="1680"/>
      <w:jc w:val="left"/>
    </w:pPr>
  </w:style>
  <w:style w:type="paragraph" w:styleId="4">
    <w:name w:val="footer"/>
    <w:basedOn w:val="1"/>
    <w:semiHidden/>
    <w:unhideWhenUsed/>
    <w:qFormat/>
    <w:uiPriority w:val="99"/>
    <w:pPr>
      <w:tabs>
        <w:tab w:val="center" w:pos="4153"/>
        <w:tab w:val="right" w:pos="8306"/>
      </w:tabs>
      <w:snapToGrid w:val="0"/>
      <w:spacing w:line="240" w:lineRule="atLeast"/>
      <w:jc w:val="left"/>
    </w:pPr>
    <w:rPr>
      <w:sz w:val="18"/>
      <w:szCs w:val="18"/>
    </w:rPr>
  </w:style>
  <w:style w:type="paragraph" w:styleId="5">
    <w:name w:val="Normal (Web)"/>
    <w:basedOn w:val="1"/>
    <w:next w:val="3"/>
    <w:qFormat/>
    <w:uiPriority w:val="0"/>
    <w:pPr>
      <w:spacing w:beforeAutospacing="1" w:afterAutospacing="1"/>
      <w:jc w:val="left"/>
    </w:pPr>
    <w:rPr>
      <w:rFonts w:cs="Times New Roman"/>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973</Words>
  <Characters>5549</Characters>
  <Lines>46</Lines>
  <Paragraphs>13</Paragraphs>
  <TotalTime>109</TotalTime>
  <ScaleCrop>false</ScaleCrop>
  <LinksUpToDate>false</LinksUpToDate>
  <CharactersWithSpaces>6509</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2022-05-10T00:51:00Z</dcterms:created>
  <dc:creator>Administrator</dc:creator>
  <cp:lastModifiedBy>ezybj</cp:lastModifiedBy>
  <dcterms:modified xsi:type="dcterms:W3CDTF">2022-08-25T03:44:41Z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